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CDA4" w14:textId="77777777" w:rsidR="00E73B4A" w:rsidRDefault="00000000">
      <w:pPr>
        <w:pStyle w:val="normal11"/>
        <w:keepNext/>
        <w:keepLines/>
        <w:spacing w:before="238"/>
        <w:rPr>
          <w:rFonts w:ascii="Arial" w:hAnsi="Arial"/>
        </w:rPr>
      </w:pPr>
      <w:r>
        <w:rPr>
          <w:rFonts w:ascii="Arial" w:eastAsia="Arial" w:hAnsi="Arial" w:cs="Arial"/>
          <w:b/>
          <w:color w:val="000000"/>
          <w:sz w:val="28"/>
          <w:szCs w:val="28"/>
        </w:rPr>
        <w:t xml:space="preserve">Artificial Intelligence in Higher Education: Students’ Artificial Intelligence Use and its Influencing Factors </w:t>
      </w:r>
    </w:p>
    <w:p w14:paraId="29B2F09C" w14:textId="59966122" w:rsidR="00E73B4A" w:rsidRDefault="00000000" w:rsidP="00EF7AA6">
      <w:pPr>
        <w:pStyle w:val="normal11"/>
        <w:spacing w:after="238"/>
        <w:jc w:val="left"/>
        <w:rPr>
          <w:rFonts w:ascii="Arial" w:hAnsi="Arial"/>
        </w:rPr>
      </w:pPr>
      <w:r>
        <w:rPr>
          <w:rFonts w:ascii="Arial" w:eastAsia="Arial" w:hAnsi="Arial" w:cs="Arial"/>
          <w:sz w:val="22"/>
          <w:szCs w:val="22"/>
        </w:rPr>
        <w:t xml:space="preserve">Zoltan </w:t>
      </w:r>
      <w:proofErr w:type="spellStart"/>
      <w:r>
        <w:rPr>
          <w:rFonts w:ascii="Arial" w:eastAsia="Arial" w:hAnsi="Arial" w:cs="Arial"/>
          <w:sz w:val="22"/>
          <w:szCs w:val="22"/>
        </w:rPr>
        <w:t>Rajki</w:t>
      </w:r>
      <w:r>
        <w:rPr>
          <w:rFonts w:ascii="Arial" w:eastAsia="Arial" w:hAnsi="Arial" w:cs="Arial"/>
          <w:sz w:val="22"/>
          <w:szCs w:val="22"/>
          <w:vertAlign w:val="superscript"/>
        </w:rPr>
        <w:t>a</w:t>
      </w:r>
      <w:proofErr w:type="spellEnd"/>
      <w:r>
        <w:rPr>
          <w:rFonts w:ascii="Arial" w:eastAsia="Arial" w:hAnsi="Arial" w:cs="Arial"/>
          <w:sz w:val="22"/>
          <w:szCs w:val="22"/>
        </w:rPr>
        <w:t xml:space="preserve">, Ida </w:t>
      </w:r>
      <w:proofErr w:type="spellStart"/>
      <w:r>
        <w:rPr>
          <w:rFonts w:ascii="Arial" w:eastAsia="Arial" w:hAnsi="Arial" w:cs="Arial"/>
          <w:sz w:val="22"/>
          <w:szCs w:val="22"/>
        </w:rPr>
        <w:t>Dringó-Horváth</w:t>
      </w:r>
      <w:r>
        <w:rPr>
          <w:rFonts w:ascii="Arial" w:eastAsia="Arial" w:hAnsi="Arial" w:cs="Arial"/>
          <w:sz w:val="22"/>
          <w:szCs w:val="22"/>
          <w:vertAlign w:val="superscript"/>
        </w:rPr>
        <w:t>b</w:t>
      </w:r>
      <w:proofErr w:type="spellEnd"/>
      <w:r>
        <w:rPr>
          <w:rFonts w:ascii="Arial" w:eastAsia="Arial" w:hAnsi="Arial" w:cs="Arial"/>
          <w:sz w:val="22"/>
          <w:szCs w:val="22"/>
          <w:vertAlign w:val="superscript"/>
        </w:rPr>
        <w:t xml:space="preserve"> </w:t>
      </w:r>
      <w:r>
        <w:rPr>
          <w:rFonts w:ascii="Arial" w:eastAsia="Arial" w:hAnsi="Arial" w:cs="Arial"/>
          <w:sz w:val="22"/>
          <w:szCs w:val="22"/>
        </w:rPr>
        <w:t>and Judit T. Nagy</w:t>
      </w:r>
      <w:r>
        <w:rPr>
          <w:rFonts w:ascii="Arial" w:eastAsia="Arial" w:hAnsi="Arial" w:cs="Arial"/>
          <w:sz w:val="22"/>
          <w:szCs w:val="22"/>
          <w:vertAlign w:val="superscript"/>
        </w:rPr>
        <w:t>b</w:t>
      </w:r>
      <w:r>
        <w:rPr>
          <w:rFonts w:ascii="Arial" w:eastAsia="Arial" w:hAnsi="Arial" w:cs="Arial"/>
          <w:sz w:val="22"/>
          <w:szCs w:val="22"/>
        </w:rPr>
        <w:t xml:space="preserve"> </w:t>
      </w:r>
      <w:r>
        <w:rPr>
          <w:rFonts w:ascii="Arial" w:eastAsia="Arial" w:hAnsi="Arial" w:cs="Arial"/>
          <w:sz w:val="22"/>
          <w:szCs w:val="22"/>
        </w:rPr>
        <w:br/>
      </w:r>
      <w:r>
        <w:rPr>
          <w:rFonts w:ascii="Arial" w:eastAsia="Arial" w:hAnsi="Arial" w:cs="Arial"/>
          <w:sz w:val="18"/>
          <w:szCs w:val="18"/>
          <w:vertAlign w:val="superscript"/>
        </w:rPr>
        <w:t xml:space="preserve">a </w:t>
      </w:r>
      <w:r>
        <w:rPr>
          <w:rFonts w:ascii="Arial" w:eastAsia="Arial" w:hAnsi="Arial" w:cs="Arial"/>
          <w:sz w:val="18"/>
          <w:szCs w:val="18"/>
        </w:rPr>
        <w:t xml:space="preserve">Pázmány Péter Catholic University, Hungary </w:t>
      </w:r>
      <w:r>
        <w:rPr>
          <w:rFonts w:ascii="Arial" w:eastAsia="Arial" w:hAnsi="Arial" w:cs="Arial"/>
          <w:sz w:val="18"/>
          <w:szCs w:val="18"/>
          <w:vertAlign w:val="superscript"/>
        </w:rPr>
        <w:t xml:space="preserve">b </w:t>
      </w:r>
      <w:r>
        <w:rPr>
          <w:rFonts w:ascii="Arial" w:eastAsia="Arial" w:hAnsi="Arial" w:cs="Arial"/>
          <w:sz w:val="18"/>
          <w:szCs w:val="18"/>
        </w:rPr>
        <w:t xml:space="preserve">Károli Gáspár University of the Reformed Church in Hungary  </w:t>
      </w:r>
    </w:p>
    <w:p w14:paraId="50C556F4" w14:textId="78763719" w:rsidR="00E73B4A" w:rsidRDefault="00000000">
      <w:pPr>
        <w:pStyle w:val="HeadingFrontPage"/>
      </w:pPr>
      <w:r>
        <w:t xml:space="preserve">Abstract </w:t>
      </w:r>
    </w:p>
    <w:p w14:paraId="3DA5B704" w14:textId="6A2CA5E7" w:rsidR="00E73B4A" w:rsidRDefault="009335FD">
      <w:pPr>
        <w:pStyle w:val="normal11"/>
        <w:rPr>
          <w:rFonts w:ascii="Arial" w:hAnsi="Arial"/>
        </w:rPr>
      </w:pPr>
      <w:r>
        <w:rPr>
          <w:noProof/>
        </w:rPr>
        <mc:AlternateContent>
          <mc:Choice Requires="wps">
            <w:drawing>
              <wp:anchor distT="36195" distB="36195" distL="33655" distR="36195" simplePos="0" relativeHeight="3" behindDoc="0" locked="0" layoutInCell="0" allowOverlap="1" wp14:anchorId="7187DA10" wp14:editId="23F87B28">
                <wp:simplePos x="0" y="0"/>
                <wp:positionH relativeFrom="margin">
                  <wp:posOffset>4309110</wp:posOffset>
                </wp:positionH>
                <wp:positionV relativeFrom="paragraph">
                  <wp:posOffset>32385</wp:posOffset>
                </wp:positionV>
                <wp:extent cx="1750695" cy="2407920"/>
                <wp:effectExtent l="0" t="0" r="1905" b="5080"/>
                <wp:wrapSquare wrapText="bothSides"/>
                <wp:docPr id="1" name="Text Box 2"/>
                <wp:cNvGraphicFramePr/>
                <a:graphic xmlns:a="http://schemas.openxmlformats.org/drawingml/2006/main">
                  <a:graphicData uri="http://schemas.microsoft.com/office/word/2010/wordprocessingShape">
                    <wps:wsp>
                      <wps:cNvSpPr/>
                      <wps:spPr>
                        <a:xfrm>
                          <a:off x="0" y="0"/>
                          <a:ext cx="1750695" cy="24079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61A69016" w14:textId="2DBB123B" w:rsidR="00E73B4A" w:rsidRDefault="00000000">
                            <w:pPr>
                              <w:pStyle w:val="JournalInformation"/>
                              <w:rPr>
                                <w:b/>
                                <w:bCs/>
                                <w:sz w:val="16"/>
                                <w:szCs w:val="16"/>
                              </w:rPr>
                            </w:pPr>
                            <w:r>
                              <w:rPr>
                                <w:b/>
                                <w:bCs/>
                                <w:color w:val="000000"/>
                                <w:sz w:val="16"/>
                                <w:szCs w:val="16"/>
                              </w:rPr>
                              <w:t xml:space="preserve">Editors </w:t>
                            </w:r>
                          </w:p>
                          <w:p w14:paraId="4DF278AE" w14:textId="4DE57771" w:rsidR="00E73B4A" w:rsidRDefault="00000000">
                            <w:pPr>
                              <w:pStyle w:val="JournalInformation"/>
                              <w:rPr>
                                <w:sz w:val="16"/>
                                <w:szCs w:val="16"/>
                              </w:rPr>
                            </w:pPr>
                            <w:r>
                              <w:rPr>
                                <w:color w:val="000000"/>
                                <w:sz w:val="16"/>
                                <w:szCs w:val="16"/>
                              </w:rPr>
                              <w:t xml:space="preserve">Section: </w:t>
                            </w:r>
                            <w:r w:rsidR="009335FD">
                              <w:rPr>
                                <w:color w:val="000000"/>
                                <w:sz w:val="16"/>
                                <w:szCs w:val="16"/>
                              </w:rPr>
                              <w:t>Educational Technology</w:t>
                            </w:r>
                            <w:r>
                              <w:rPr>
                                <w:color w:val="000000"/>
                                <w:sz w:val="16"/>
                                <w:szCs w:val="16"/>
                              </w:rPr>
                              <w:br/>
                              <w:t xml:space="preserve">Senior Editor: </w:t>
                            </w:r>
                            <w:r w:rsidR="009335FD">
                              <w:rPr>
                                <w:color w:val="000000"/>
                                <w:sz w:val="16"/>
                                <w:szCs w:val="16"/>
                              </w:rPr>
                              <w:t>Rachel Fitzgerald</w:t>
                            </w:r>
                            <w:r>
                              <w:rPr>
                                <w:color w:val="000000"/>
                                <w:sz w:val="16"/>
                                <w:szCs w:val="16"/>
                              </w:rPr>
                              <w:br/>
                              <w:t>Associate Editor:</w:t>
                            </w:r>
                            <w:r w:rsidR="009335FD">
                              <w:rPr>
                                <w:color w:val="000000"/>
                                <w:sz w:val="16"/>
                                <w:szCs w:val="16"/>
                              </w:rPr>
                              <w:t xml:space="preserve"> Joseph Crawford</w:t>
                            </w:r>
                          </w:p>
                          <w:p w14:paraId="6A0C7922" w14:textId="77777777" w:rsidR="00E73B4A" w:rsidRDefault="00000000">
                            <w:pPr>
                              <w:pStyle w:val="JournalInformation"/>
                              <w:rPr>
                                <w:b/>
                                <w:bCs/>
                                <w:sz w:val="16"/>
                                <w:szCs w:val="16"/>
                              </w:rPr>
                            </w:pPr>
                            <w:r>
                              <w:rPr>
                                <w:b/>
                                <w:bCs/>
                                <w:color w:val="000000"/>
                                <w:sz w:val="16"/>
                                <w:szCs w:val="16"/>
                              </w:rPr>
                              <w:t>Publication</w:t>
                            </w:r>
                          </w:p>
                          <w:p w14:paraId="7B9009F4" w14:textId="56E632D8" w:rsidR="00E73B4A" w:rsidRDefault="00000000">
                            <w:pPr>
                              <w:pStyle w:val="JournalInformation"/>
                              <w:rPr>
                                <w:sz w:val="16"/>
                                <w:szCs w:val="16"/>
                              </w:rPr>
                            </w:pPr>
                            <w:r>
                              <w:rPr>
                                <w:color w:val="000000"/>
                                <w:sz w:val="16"/>
                                <w:szCs w:val="16"/>
                              </w:rPr>
                              <w:t xml:space="preserve">Submission: </w:t>
                            </w:r>
                            <w:r w:rsidR="009335FD">
                              <w:rPr>
                                <w:color w:val="000000"/>
                                <w:sz w:val="16"/>
                                <w:szCs w:val="16"/>
                              </w:rPr>
                              <w:t>Oct 5 2024</w:t>
                            </w:r>
                            <w:r>
                              <w:rPr>
                                <w:color w:val="000000"/>
                                <w:sz w:val="16"/>
                                <w:szCs w:val="16"/>
                              </w:rPr>
                              <w:br/>
                              <w:t xml:space="preserve">Revised: </w:t>
                            </w:r>
                            <w:r w:rsidR="009335FD">
                              <w:rPr>
                                <w:color w:val="000000"/>
                                <w:sz w:val="16"/>
                                <w:szCs w:val="16"/>
                              </w:rPr>
                              <w:t>Feb 13 2025</w:t>
                            </w:r>
                            <w:r>
                              <w:rPr>
                                <w:color w:val="000000"/>
                                <w:sz w:val="16"/>
                                <w:szCs w:val="16"/>
                              </w:rPr>
                              <w:br/>
                              <w:t xml:space="preserve">Accepted: </w:t>
                            </w:r>
                            <w:r w:rsidR="009335FD">
                              <w:rPr>
                                <w:color w:val="000000"/>
                                <w:sz w:val="16"/>
                                <w:szCs w:val="16"/>
                              </w:rPr>
                              <w:t>Mar 10 2025</w:t>
                            </w:r>
                            <w:r>
                              <w:rPr>
                                <w:color w:val="000000"/>
                                <w:sz w:val="16"/>
                                <w:szCs w:val="16"/>
                              </w:rPr>
                              <w:br/>
                              <w:t xml:space="preserve">Online First: </w:t>
                            </w:r>
                            <w:r w:rsidR="009335FD">
                              <w:rPr>
                                <w:color w:val="000000"/>
                                <w:sz w:val="16"/>
                                <w:szCs w:val="16"/>
                              </w:rPr>
                              <w:t>Apr 6 2025</w:t>
                            </w:r>
                          </w:p>
                          <w:p w14:paraId="5FDAD877" w14:textId="77777777" w:rsidR="00E73B4A" w:rsidRDefault="00000000">
                            <w:pPr>
                              <w:pStyle w:val="JournalInformation"/>
                              <w:rPr>
                                <w:b/>
                                <w:bCs/>
                                <w:sz w:val="16"/>
                                <w:szCs w:val="16"/>
                              </w:rPr>
                            </w:pPr>
                            <w:r>
                              <w:rPr>
                                <w:b/>
                                <w:bCs/>
                                <w:color w:val="000000"/>
                                <w:sz w:val="16"/>
                                <w:szCs w:val="16"/>
                              </w:rPr>
                              <w:t>Copyright</w:t>
                            </w:r>
                            <w:r>
                              <w:rPr>
                                <w:color w:val="000000"/>
                                <w:sz w:val="16"/>
                                <w:szCs w:val="16"/>
                              </w:rPr>
                              <w:t xml:space="preserve"> © by the authors, in its year of first publication. This publication is an open access publication under the Creative Commons Attribution </w:t>
                            </w:r>
                            <w:hyperlink r:id="rId7">
                              <w:r w:rsidR="00E73B4A">
                                <w:rPr>
                                  <w:rStyle w:val="Hyperlink"/>
                                  <w:sz w:val="16"/>
                                  <w:szCs w:val="16"/>
                                  <w:lang w:bidi="en-US"/>
                                </w:rPr>
                                <w:t>CC BY-ND 4.0</w:t>
                              </w:r>
                            </w:hyperlink>
                            <w:r>
                              <w:rPr>
                                <w:color w:val="000000"/>
                                <w:sz w:val="16"/>
                                <w:szCs w:val="16"/>
                              </w:rPr>
                              <w:t xml:space="preserve"> license.</w:t>
                            </w:r>
                          </w:p>
                        </w:txbxContent>
                      </wps:txbx>
                      <wps:bodyPr wrap="square" anchor="t">
                        <a:noAutofit/>
                      </wps:bodyPr>
                    </wps:wsp>
                  </a:graphicData>
                </a:graphic>
                <wp14:sizeRelH relativeFrom="margin">
                  <wp14:pctWidth>0</wp14:pctWidth>
                </wp14:sizeRelH>
              </wp:anchor>
            </w:drawing>
          </mc:Choice>
          <mc:Fallback>
            <w:pict>
              <v:rect w14:anchorId="7187DA10" id="Text Box 2" o:spid="_x0000_s1026" style="position:absolute;left:0;text-align:left;margin-left:339.3pt;margin-top:2.55pt;width:137.85pt;height:189.6pt;z-index:3;visibility:visible;mso-wrap-style:square;mso-width-percent:0;mso-wrap-distance-left:2.65pt;mso-wrap-distance-top:2.85pt;mso-wrap-distance-right:2.85pt;mso-wrap-distance-bottom:2.85pt;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" o:allowincell="f" stroked="f" strokeweight=".26mm">
                <v:textbox>
                  <w:txbxContent>
                    <w:p w14:paraId="61A69016" w14:textId="2DBB123B" w:rsidR="00E73B4A" w:rsidRDefault="00000000">
                      <w:pPr>
                        <w:pStyle w:val="JournalInformation"/>
                        <w:rPr>
                          <w:b/>
                          <w:bCs/>
                          <w:sz w:val="16"/>
                          <w:szCs w:val="16"/>
                        </w:rPr>
                      </w:pPr>
                      <w:r>
                        <w:rPr>
                          <w:b/>
                          <w:bCs/>
                          <w:color w:val="000000"/>
                          <w:sz w:val="16"/>
                          <w:szCs w:val="16"/>
                        </w:rPr>
                        <w:t xml:space="preserve">Editors </w:t>
                      </w:r>
                    </w:p>
                    <w:p w14:paraId="4DF278AE" w14:textId="4DE57771" w:rsidR="00E73B4A" w:rsidRDefault="00000000">
                      <w:pPr>
                        <w:pStyle w:val="JournalInformation"/>
                        <w:rPr>
                          <w:sz w:val="16"/>
                          <w:szCs w:val="16"/>
                        </w:rPr>
                      </w:pPr>
                      <w:r>
                        <w:rPr>
                          <w:color w:val="000000"/>
                          <w:sz w:val="16"/>
                          <w:szCs w:val="16"/>
                        </w:rPr>
                        <w:t xml:space="preserve">Section: </w:t>
                      </w:r>
                      <w:r w:rsidR="009335FD">
                        <w:rPr>
                          <w:color w:val="000000"/>
                          <w:sz w:val="16"/>
                          <w:szCs w:val="16"/>
                        </w:rPr>
                        <w:t>Educational Technology</w:t>
                      </w:r>
                      <w:r>
                        <w:rPr>
                          <w:color w:val="000000"/>
                          <w:sz w:val="16"/>
                          <w:szCs w:val="16"/>
                        </w:rPr>
                        <w:br/>
                        <w:t xml:space="preserve">Senior Editor: </w:t>
                      </w:r>
                      <w:r w:rsidR="009335FD">
                        <w:rPr>
                          <w:color w:val="000000"/>
                          <w:sz w:val="16"/>
                          <w:szCs w:val="16"/>
                        </w:rPr>
                        <w:t>Rachel Fitzgerald</w:t>
                      </w:r>
                      <w:r>
                        <w:rPr>
                          <w:color w:val="000000"/>
                          <w:sz w:val="16"/>
                          <w:szCs w:val="16"/>
                        </w:rPr>
                        <w:br/>
                        <w:t>Associate Editor:</w:t>
                      </w:r>
                      <w:r w:rsidR="009335FD">
                        <w:rPr>
                          <w:color w:val="000000"/>
                          <w:sz w:val="16"/>
                          <w:szCs w:val="16"/>
                        </w:rPr>
                        <w:t xml:space="preserve"> Joseph Crawford</w:t>
                      </w:r>
                    </w:p>
                    <w:p w14:paraId="6A0C7922" w14:textId="77777777" w:rsidR="00E73B4A" w:rsidRDefault="00000000">
                      <w:pPr>
                        <w:pStyle w:val="JournalInformation"/>
                        <w:rPr>
                          <w:b/>
                          <w:bCs/>
                          <w:sz w:val="16"/>
                          <w:szCs w:val="16"/>
                        </w:rPr>
                      </w:pPr>
                      <w:r>
                        <w:rPr>
                          <w:b/>
                          <w:bCs/>
                          <w:color w:val="000000"/>
                          <w:sz w:val="16"/>
                          <w:szCs w:val="16"/>
                        </w:rPr>
                        <w:t>Publication</w:t>
                      </w:r>
                    </w:p>
                    <w:p w14:paraId="7B9009F4" w14:textId="56E632D8" w:rsidR="00E73B4A" w:rsidRDefault="00000000">
                      <w:pPr>
                        <w:pStyle w:val="JournalInformation"/>
                        <w:rPr>
                          <w:sz w:val="16"/>
                          <w:szCs w:val="16"/>
                        </w:rPr>
                      </w:pPr>
                      <w:r>
                        <w:rPr>
                          <w:color w:val="000000"/>
                          <w:sz w:val="16"/>
                          <w:szCs w:val="16"/>
                        </w:rPr>
                        <w:t xml:space="preserve">Submission: </w:t>
                      </w:r>
                      <w:r w:rsidR="009335FD">
                        <w:rPr>
                          <w:color w:val="000000"/>
                          <w:sz w:val="16"/>
                          <w:szCs w:val="16"/>
                        </w:rPr>
                        <w:t>Oct 5 2024</w:t>
                      </w:r>
                      <w:r>
                        <w:rPr>
                          <w:color w:val="000000"/>
                          <w:sz w:val="16"/>
                          <w:szCs w:val="16"/>
                        </w:rPr>
                        <w:br/>
                        <w:t xml:space="preserve">Revised: </w:t>
                      </w:r>
                      <w:r w:rsidR="009335FD">
                        <w:rPr>
                          <w:color w:val="000000"/>
                          <w:sz w:val="16"/>
                          <w:szCs w:val="16"/>
                        </w:rPr>
                        <w:t>Feb 13 2025</w:t>
                      </w:r>
                      <w:r>
                        <w:rPr>
                          <w:color w:val="000000"/>
                          <w:sz w:val="16"/>
                          <w:szCs w:val="16"/>
                        </w:rPr>
                        <w:br/>
                        <w:t xml:space="preserve">Accepted: </w:t>
                      </w:r>
                      <w:r w:rsidR="009335FD">
                        <w:rPr>
                          <w:color w:val="000000"/>
                          <w:sz w:val="16"/>
                          <w:szCs w:val="16"/>
                        </w:rPr>
                        <w:t>Mar 10 2025</w:t>
                      </w:r>
                      <w:r>
                        <w:rPr>
                          <w:color w:val="000000"/>
                          <w:sz w:val="16"/>
                          <w:szCs w:val="16"/>
                        </w:rPr>
                        <w:br/>
                        <w:t xml:space="preserve">Online First: </w:t>
                      </w:r>
                      <w:r w:rsidR="009335FD">
                        <w:rPr>
                          <w:color w:val="000000"/>
                          <w:sz w:val="16"/>
                          <w:szCs w:val="16"/>
                        </w:rPr>
                        <w:t>Apr 6 2025</w:t>
                      </w:r>
                    </w:p>
                    <w:p w14:paraId="5FDAD877" w14:textId="77777777" w:rsidR="00E73B4A" w:rsidRDefault="00000000">
                      <w:pPr>
                        <w:pStyle w:val="JournalInformation"/>
                        <w:rPr>
                          <w:b/>
                          <w:bCs/>
                          <w:sz w:val="16"/>
                          <w:szCs w:val="16"/>
                        </w:rPr>
                      </w:pPr>
                      <w:r>
                        <w:rPr>
                          <w:b/>
                          <w:bCs/>
                          <w:color w:val="000000"/>
                          <w:sz w:val="16"/>
                          <w:szCs w:val="16"/>
                        </w:rPr>
                        <w:t>Copyright</w:t>
                      </w:r>
                      <w:r>
                        <w:rPr>
                          <w:color w:val="000000"/>
                          <w:sz w:val="16"/>
                          <w:szCs w:val="16"/>
                        </w:rPr>
                        <w:t xml:space="preserve"> © by the authors, in its year of first publication. This publication is an open access publication under the Creative Commons Attribution </w:t>
                      </w:r>
                      <w:hyperlink r:id="rId8">
                        <w:r w:rsidR="00E73B4A">
                          <w:rPr>
                            <w:rStyle w:val="Hyperlink"/>
                            <w:sz w:val="16"/>
                            <w:szCs w:val="16"/>
                            <w:lang w:bidi="en-US"/>
                          </w:rPr>
                          <w:t>CC BY-ND 4.0</w:t>
                        </w:r>
                      </w:hyperlink>
                      <w:r>
                        <w:rPr>
                          <w:color w:val="000000"/>
                          <w:sz w:val="16"/>
                          <w:szCs w:val="16"/>
                        </w:rPr>
                        <w:t xml:space="preserve"> license.</w:t>
                      </w:r>
                    </w:p>
                  </w:txbxContent>
                </v:textbox>
                <w10:wrap type="square" anchorx="margin"/>
              </v:rect>
            </w:pict>
          </mc:Fallback>
        </mc:AlternateContent>
      </w:r>
      <w:r>
        <w:rPr>
          <w:rFonts w:ascii="Arial" w:hAnsi="Arial"/>
        </w:rPr>
        <w:t>This study is part of a larger research project that examines the impact of the spread of artificial intelligence (AI), especially ChatGPT and similar generative AI tools on Hungarian higher education. In this paper, we investigate the use of AI (in terms of awareness, tools used, areas of use, and barriers to use) and factors influencing its use in the studies of Hungarian university students, especially those studying in the fields of humanities, social sciences, and teacher education. A large-sample empirical study of 1,027 students revealed significant differences in the use of AI tools by course type, gender, educational level, and field of study. Areas of use and barriers to use are significantly influenced by course type and gender, whereas the level of knowledge is considerably influenced by course type. The results of our study can support higher education institutions in developing strategies to promote the ethical use of AI tools and to integrate them into educational processes while ensuring equal access for all students.</w:t>
      </w:r>
    </w:p>
    <w:p w14:paraId="196AEF45" w14:textId="77777777" w:rsidR="00E73B4A" w:rsidRDefault="00000000">
      <w:pPr>
        <w:pStyle w:val="HeadingFrontPage"/>
      </w:pPr>
      <w:r>
        <w:t>Practitioner Notes</w:t>
      </w:r>
    </w:p>
    <w:p w14:paraId="3669E33D" w14:textId="77777777" w:rsidR="00E73B4A" w:rsidRDefault="00000000">
      <w:pPr>
        <w:pStyle w:val="PractitionerNotes"/>
      </w:pPr>
      <w:r>
        <w:t xml:space="preserve">Full-time students are more exposed to AI concepts and use AI tools more extensively than correspondence students. </w:t>
      </w:r>
    </w:p>
    <w:p w14:paraId="173F6558" w14:textId="77777777" w:rsidR="00E73B4A" w:rsidRDefault="00000000">
      <w:pPr>
        <w:pStyle w:val="PractitionerNotes"/>
      </w:pPr>
      <w:r>
        <w:t xml:space="preserve">Correspondence students, balancing work and family responsibilities, are more open to using AI tools. However, they face barriers such as a lack of AI knowledge and access to technical tools. </w:t>
      </w:r>
    </w:p>
    <w:p w14:paraId="761F8DB3" w14:textId="77777777" w:rsidR="00E73B4A" w:rsidRDefault="00000000">
      <w:pPr>
        <w:pStyle w:val="PractitionerNotes"/>
      </w:pPr>
      <w:r>
        <w:t>Men tend to use a wider variety of AI tools and more experimental with AI technology, while women express more concerns and barriers related to AI use.</w:t>
      </w:r>
    </w:p>
    <w:p w14:paraId="338BF6BA" w14:textId="77777777" w:rsidR="00E73B4A" w:rsidRDefault="00000000">
      <w:pPr>
        <w:pStyle w:val="PractitionerNotes"/>
      </w:pPr>
      <w:r>
        <w:t>Students in the humanities and social sciences use AI tools more than students in teacher education, with notable differences in the types of AI tools used.</w:t>
      </w:r>
    </w:p>
    <w:p w14:paraId="1B850A39" w14:textId="77777777" w:rsidR="00E73B4A" w:rsidRDefault="00000000">
      <w:pPr>
        <w:pStyle w:val="PractitionerNotes"/>
      </w:pPr>
      <w:r>
        <w:rPr>
          <w:rFonts w:eastAsia="Arial"/>
          <w:color w:val="000000"/>
        </w:rPr>
        <w:t xml:space="preserve">Undergraduate students, especially those in the first year, generally have lower exposure to AI tools due to their recent transition from secondary education. </w:t>
      </w:r>
    </w:p>
    <w:p w14:paraId="59E5FF94" w14:textId="77777777" w:rsidR="00E73B4A" w:rsidRDefault="00000000">
      <w:pPr>
        <w:pStyle w:val="HeadingFrontPage"/>
      </w:pPr>
      <w:r>
        <w:t>Keywords</w:t>
      </w:r>
    </w:p>
    <w:p w14:paraId="678AA68E" w14:textId="77777777" w:rsidR="00E73B4A" w:rsidRDefault="00000000">
      <w:pPr>
        <w:pStyle w:val="FrontPageText"/>
        <w:spacing w:after="119"/>
      </w:pPr>
      <w:r>
        <w:rPr>
          <w:rStyle w:val="Strong"/>
          <w:b w:val="0"/>
          <w:color w:val="000000"/>
          <w:lang w:val="en-US"/>
        </w:rPr>
        <w:t>Artificial Intelligence, Higher Education, Academic Integrity, AI</w:t>
      </w:r>
    </w:p>
    <w:p w14:paraId="4D2494F7" w14:textId="77777777" w:rsidR="00E73B4A" w:rsidRDefault="00000000">
      <w:pPr>
        <w:pStyle w:val="Heading1"/>
        <w:spacing w:after="119"/>
      </w:pPr>
      <w:r>
        <w:rPr>
          <w:rFonts w:eastAsia="NSimSun" w:cs="Lucida Sans"/>
          <w:lang w:bidi="hi-IN"/>
        </w:rPr>
        <w:lastRenderedPageBreak/>
        <w:t xml:space="preserve">Introduction </w:t>
      </w:r>
    </w:p>
    <w:p w14:paraId="0F73997B" w14:textId="77777777" w:rsidR="00E73B4A" w:rsidRDefault="00000000">
      <w:r>
        <w:t>The role of AI in education has received increased attention with the release and rapid adoption of ChatGPT and similar generative AI (</w:t>
      </w:r>
      <w:proofErr w:type="spellStart"/>
      <w:r>
        <w:t>genAI</w:t>
      </w:r>
      <w:proofErr w:type="spellEnd"/>
      <w:r>
        <w:t xml:space="preserve">) applications by the end of 2022. University students have also been quick to explore the potential of this tool. This is evidenced by the fact that since ChatGPT was made available to the </w:t>
      </w:r>
      <w:proofErr w:type="gramStart"/>
      <w:r>
        <w:t>general public</w:t>
      </w:r>
      <w:proofErr w:type="gramEnd"/>
      <w:r>
        <w:t xml:space="preserve"> on 30 November 2022, 128,402 visits to the ChatGPT site were recorded from the eight leading UK university Wi-Fi networks alone in December 2022. By January 2023, this figure had risen to 982,809, indicating the software's popularity (</w:t>
      </w:r>
      <w:proofErr w:type="spellStart"/>
      <w:r>
        <w:t>Snepvangers</w:t>
      </w:r>
      <w:proofErr w:type="spellEnd"/>
      <w:r>
        <w:t>, 2023).</w:t>
      </w:r>
      <w:sdt>
        <w:sdtPr>
          <w:tag w:val="goog_rdk_13"/>
          <w:id w:val="1917665164"/>
          <w:showingPlcHdr/>
        </w:sdtPr>
        <w:sdtContent/>
      </w:sdt>
    </w:p>
    <w:p w14:paraId="60D3BDAD" w14:textId="0424F2F9" w:rsidR="00E73B4A" w:rsidRDefault="00000000">
      <w:pPr>
        <w:pStyle w:val="normal11"/>
        <w:rPr>
          <w:rFonts w:ascii="Arial" w:hAnsi="Arial"/>
        </w:rPr>
      </w:pPr>
      <w:r>
        <w:rPr>
          <w:rFonts w:ascii="Arial" w:hAnsi="Arial"/>
          <w:sz w:val="22"/>
          <w:szCs w:val="22"/>
        </w:rPr>
        <w:t xml:space="preserve">According to various surveys, in </w:t>
      </w:r>
      <w:proofErr w:type="gramStart"/>
      <w:r>
        <w:rPr>
          <w:rFonts w:ascii="Arial" w:hAnsi="Arial"/>
          <w:sz w:val="22"/>
          <w:szCs w:val="22"/>
        </w:rPr>
        <w:t>2023 ꟷ the</w:t>
      </w:r>
      <w:proofErr w:type="gramEnd"/>
      <w:r>
        <w:rPr>
          <w:rFonts w:ascii="Arial" w:hAnsi="Arial"/>
          <w:sz w:val="22"/>
          <w:szCs w:val="22"/>
        </w:rPr>
        <w:t xml:space="preserve"> year immediately preceding the present survey ꟷ the vast majority of Hungarian university students were already familiar with AI and nearly 80% of them had used some AI tool in their studies (HR</w:t>
      </w:r>
      <w:r w:rsidR="00911B15">
        <w:rPr>
          <w:rFonts w:ascii="Arial" w:hAnsi="Arial"/>
          <w:sz w:val="22"/>
          <w:szCs w:val="22"/>
        </w:rPr>
        <w:t xml:space="preserve"> </w:t>
      </w:r>
      <w:r>
        <w:rPr>
          <w:rFonts w:ascii="Arial" w:hAnsi="Arial"/>
          <w:sz w:val="22"/>
          <w:szCs w:val="22"/>
        </w:rPr>
        <w:t>Portal, 2023; Rajki et al., 2024). The data indicated the student demand for the use of these tools. The potential of the widespread use of AI tools means that AI skills will become indispensable in many areas of the labour market (Green, 2024), which will have some impact on all higher education institutions. The sudden changes will require a rapid response from higher education institutions, education professionals and academics.</w:t>
      </w:r>
    </w:p>
    <w:p w14:paraId="36208651" w14:textId="77777777" w:rsidR="00E73B4A" w:rsidRDefault="00000000">
      <w:pPr>
        <w:pStyle w:val="normal11"/>
        <w:rPr>
          <w:rFonts w:ascii="Arial" w:hAnsi="Arial"/>
        </w:rPr>
      </w:pPr>
      <w:r>
        <w:rPr>
          <w:rFonts w:ascii="Arial" w:hAnsi="Arial"/>
          <w:sz w:val="22"/>
          <w:szCs w:val="22"/>
        </w:rPr>
        <w:t xml:space="preserve">The very rapid proliferation of </w:t>
      </w:r>
      <w:proofErr w:type="spellStart"/>
      <w:r>
        <w:rPr>
          <w:rFonts w:ascii="Arial" w:hAnsi="Arial"/>
          <w:sz w:val="22"/>
          <w:szCs w:val="22"/>
        </w:rPr>
        <w:t>genAI</w:t>
      </w:r>
      <w:proofErr w:type="spellEnd"/>
      <w:r>
        <w:rPr>
          <w:rFonts w:ascii="Arial" w:hAnsi="Arial"/>
          <w:sz w:val="22"/>
          <w:szCs w:val="22"/>
        </w:rPr>
        <w:t xml:space="preserve"> applications has raised awareness not only among users but also among researchers about the effects of AI on social and economic life. Empirical research on the impact of AI on higher education has covered, among other things, the use of AI tools by university students (Chan &amp; Hu, 2023; Delcker et al., 2024; </w:t>
      </w:r>
      <w:proofErr w:type="spellStart"/>
      <w:r>
        <w:rPr>
          <w:rFonts w:ascii="Arial" w:hAnsi="Arial"/>
          <w:sz w:val="22"/>
          <w:szCs w:val="22"/>
        </w:rPr>
        <w:t>Folmeg</w:t>
      </w:r>
      <w:proofErr w:type="spellEnd"/>
      <w:r>
        <w:rPr>
          <w:rFonts w:ascii="Arial" w:hAnsi="Arial"/>
          <w:sz w:val="22"/>
          <w:szCs w:val="22"/>
        </w:rPr>
        <w:t xml:space="preserve"> et al., 2024; </w:t>
      </w:r>
      <w:proofErr w:type="spellStart"/>
      <w:r>
        <w:rPr>
          <w:rFonts w:ascii="Arial" w:hAnsi="Arial"/>
          <w:sz w:val="22"/>
          <w:szCs w:val="22"/>
        </w:rPr>
        <w:t>Kanont</w:t>
      </w:r>
      <w:proofErr w:type="spellEnd"/>
      <w:r>
        <w:rPr>
          <w:rFonts w:ascii="Arial" w:hAnsi="Arial"/>
          <w:sz w:val="22"/>
          <w:szCs w:val="22"/>
        </w:rPr>
        <w:t xml:space="preserve"> et al., 2024), the potential of using </w:t>
      </w:r>
      <w:proofErr w:type="spellStart"/>
      <w:r>
        <w:rPr>
          <w:rFonts w:ascii="Arial" w:hAnsi="Arial"/>
          <w:sz w:val="22"/>
          <w:szCs w:val="22"/>
        </w:rPr>
        <w:t>genAI</w:t>
      </w:r>
      <w:proofErr w:type="spellEnd"/>
      <w:r>
        <w:rPr>
          <w:rFonts w:ascii="Arial" w:hAnsi="Arial"/>
          <w:sz w:val="22"/>
          <w:szCs w:val="22"/>
        </w:rPr>
        <w:t xml:space="preserve"> tools in (higher) education (Essien et al., 2024; Fekete et al., 2024; Grassini 2023), and the possibility of filtering out unethical use (Cotton et al., 2024)</w:t>
      </w:r>
      <w:r>
        <w:rPr>
          <w:rFonts w:ascii="Arial" w:hAnsi="Arial"/>
          <w:color w:val="000000"/>
          <w:sz w:val="22"/>
          <w:szCs w:val="22"/>
        </w:rPr>
        <w:t xml:space="preserve">. </w:t>
      </w:r>
    </w:p>
    <w:p w14:paraId="18CD9D8E" w14:textId="77777777" w:rsidR="00E73B4A" w:rsidRDefault="00000000">
      <w:pPr>
        <w:pStyle w:val="normal11"/>
        <w:rPr>
          <w:rFonts w:ascii="Arial" w:hAnsi="Arial"/>
        </w:rPr>
      </w:pPr>
      <w:r>
        <w:rPr>
          <w:rFonts w:ascii="Arial" w:hAnsi="Arial"/>
          <w:color w:val="000000"/>
          <w:sz w:val="22"/>
          <w:szCs w:val="22"/>
        </w:rPr>
        <w:t>In higher education, institutions serve as foundational structures, establishing guidelines and recommendations. However, bridging these frameworks with actionable proposals relies heavily on educational professionals. Central to this endeavour is understanding the emotional, cognitive, and behavioural attitudes towards AI held by key stakeholders: teachers and students. This study focuses on assessing university students' attitudes towards AI, pivotal for institutions and educators considering AI integration in education. It emphasises the diversity among students, influenced by demographic factors like gender, educational background, and field of study. By identifying these influences, our research aims to equip educators and institutional leaders with insights crucial for fostering inclusive AI adoption in disciplines such as social sciences, humanities, and pedagogical fields.</w:t>
      </w:r>
      <w:r>
        <w:rPr>
          <w:rFonts w:ascii="Arial" w:hAnsi="Arial"/>
          <w:sz w:val="22"/>
          <w:szCs w:val="22"/>
        </w:rPr>
        <w:t xml:space="preserve">  </w:t>
      </w:r>
    </w:p>
    <w:p w14:paraId="2322190B" w14:textId="77777777" w:rsidR="00E73B4A" w:rsidRDefault="00000000">
      <w:pPr>
        <w:pStyle w:val="Heading1"/>
        <w:spacing w:after="119"/>
      </w:pPr>
      <w:r>
        <w:t>Literature</w:t>
      </w:r>
    </w:p>
    <w:p w14:paraId="6E278745" w14:textId="77777777" w:rsidR="00E73B4A" w:rsidRDefault="00000000">
      <w:r>
        <w:rPr>
          <w:lang w:bidi="hi-IN"/>
        </w:rPr>
        <w:t xml:space="preserve">Integrating Artificial Intelligence (AI) into higher education is transforming the landscape of higher education, creating new opportunities in teaching and research. Technologies such as intelligent tutoring systems, automated assessment, and </w:t>
      </w:r>
      <w:r>
        <w:rPr>
          <w:rFonts w:eastAsia="NSimSun" w:cs="Lucida Sans"/>
          <w:color w:val="000000"/>
          <w:lang w:bidi="hi-IN"/>
        </w:rPr>
        <w:t>personalised</w:t>
      </w:r>
      <w:r>
        <w:rPr>
          <w:lang w:bidi="hi-IN"/>
        </w:rPr>
        <w:t xml:space="preserve"> learning platforms (Sajja et al., 2023; Nguyen et al., 2024; Silva-Cornejo et al., 2024) are enhancing the effectiveness of education and improving students' learning outcomes (</w:t>
      </w:r>
      <w:proofErr w:type="spellStart"/>
      <w:r>
        <w:rPr>
          <w:lang w:bidi="hi-IN"/>
        </w:rPr>
        <w:t>Fadlelmula</w:t>
      </w:r>
      <w:proofErr w:type="spellEnd"/>
      <w:r>
        <w:rPr>
          <w:lang w:bidi="hi-IN"/>
        </w:rPr>
        <w:t xml:space="preserve"> &amp; Qadhi, 2024; Pang et al., 2024). However, challenges also arise, including ethical concerns (Cotton et al., 2024), data privacy issues (Pang et al., 2024; Nguyen et al., 2024), the digital divide—which can deepen educational inequalities (Pang et al., 2024; </w:t>
      </w:r>
      <w:r>
        <w:rPr>
          <w:rFonts w:eastAsia="Roboto" w:cs="Roboto"/>
          <w:color w:val="222222"/>
          <w:shd w:val="clear" w:color="auto" w:fill="FFFFFF"/>
          <w:lang w:bidi="hi-IN"/>
        </w:rPr>
        <w:t>Møgelvang</w:t>
      </w:r>
      <w:r>
        <w:rPr>
          <w:lang w:bidi="hi-IN"/>
        </w:rPr>
        <w:t xml:space="preserve"> et al., 2024; Nguyen et al., 2024)—and the risk of excessive technological dependence (</w:t>
      </w:r>
      <w:r>
        <w:rPr>
          <w:rFonts w:eastAsia="Roboto" w:cs="Roboto"/>
          <w:color w:val="222222"/>
          <w:shd w:val="clear" w:color="auto" w:fill="FFFFFF"/>
          <w:lang w:bidi="hi-IN"/>
        </w:rPr>
        <w:t>Møgelvang</w:t>
      </w:r>
      <w:r>
        <w:rPr>
          <w:lang w:bidi="hi-IN"/>
        </w:rPr>
        <w:t xml:space="preserve"> et al., 2024; Delcker et al., 2024). Students' attitudes </w:t>
      </w:r>
      <w:r>
        <w:rPr>
          <w:lang w:bidi="hi-IN"/>
        </w:rPr>
        <w:lastRenderedPageBreak/>
        <w:t>towards AI can be influenced by various factors, including gender (</w:t>
      </w:r>
      <w:r>
        <w:rPr>
          <w:rFonts w:eastAsia="Roboto" w:cs="Roboto"/>
          <w:color w:val="222222"/>
          <w:shd w:val="clear" w:color="auto" w:fill="FFFFFF"/>
          <w:lang w:bidi="hi-IN"/>
        </w:rPr>
        <w:t>Møgelvang</w:t>
      </w:r>
      <w:r>
        <w:rPr>
          <w:lang w:bidi="hi-IN"/>
        </w:rPr>
        <w:t xml:space="preserve"> et al., 2024), educational level, field of study, form of education, as well as ethical, effectiveness, and data privacy considerations. While research examines the impact of AI on student engagement and performance, little attention is paid to how different demographic groups use these tools. A deeper understanding of the application of AI in higher education is crucial to making educational practices fair and effective.</w:t>
      </w:r>
    </w:p>
    <w:p w14:paraId="7D7D5ED2" w14:textId="77777777" w:rsidR="00E73B4A" w:rsidRDefault="00000000">
      <w:pPr>
        <w:pStyle w:val="Heading2"/>
      </w:pPr>
      <w:r>
        <w:t>Gender differences in AI use</w:t>
      </w:r>
    </w:p>
    <w:p w14:paraId="4DAB88C3" w14:textId="77777777" w:rsidR="00E73B4A" w:rsidRDefault="00000000">
      <w:r>
        <w:rPr>
          <w:rFonts w:eastAsia="NSimSun" w:cs="Lucida Sans"/>
          <w:lang w:eastAsia="zh-CN" w:bidi="hi-IN"/>
        </w:rPr>
        <w:t xml:space="preserve">Gender differences in technology use and attitudes also extend to </w:t>
      </w:r>
      <w:proofErr w:type="spellStart"/>
      <w:r>
        <w:rPr>
          <w:rFonts w:eastAsia="NSimSun" w:cs="Lucida Sans"/>
          <w:lang w:eastAsia="zh-CN" w:bidi="hi-IN"/>
        </w:rPr>
        <w:t>genAI</w:t>
      </w:r>
      <w:proofErr w:type="spellEnd"/>
      <w:r>
        <w:rPr>
          <w:rFonts w:eastAsia="NSimSun" w:cs="Lucida Sans"/>
          <w:lang w:eastAsia="zh-CN" w:bidi="hi-IN"/>
        </w:rPr>
        <w:t xml:space="preserve">, according to recent research (Møgelvang et al., 2024). Men use </w:t>
      </w:r>
      <w:proofErr w:type="spellStart"/>
      <w:r>
        <w:rPr>
          <w:rFonts w:eastAsia="NSimSun" w:cs="Lucida Sans"/>
          <w:lang w:eastAsia="zh-CN" w:bidi="hi-IN"/>
        </w:rPr>
        <w:t>genAI</w:t>
      </w:r>
      <w:proofErr w:type="spellEnd"/>
      <w:r>
        <w:rPr>
          <w:rFonts w:eastAsia="NSimSun" w:cs="Lucida Sans"/>
          <w:lang w:eastAsia="zh-CN" w:bidi="hi-IN"/>
        </w:rPr>
        <w:t xml:space="preserve"> tools more often and show more use (Møgelvang et al., 2024; Stöhr et al., 2024</w:t>
      </w:r>
      <w:r>
        <w:t xml:space="preserve">; </w:t>
      </w:r>
      <w:r>
        <w:rPr>
          <w:rFonts w:eastAsia="Arial"/>
          <w:shd w:val="clear" w:color="auto" w:fill="FFFFFF"/>
        </w:rPr>
        <w:t xml:space="preserve">Ofosu-Ampong, 2023; </w:t>
      </w:r>
      <w:proofErr w:type="spellStart"/>
      <w:r>
        <w:rPr>
          <w:rFonts w:eastAsia="Arial"/>
          <w:shd w:val="clear" w:color="auto" w:fill="FFFFFF"/>
        </w:rPr>
        <w:t>Fihris</w:t>
      </w:r>
      <w:proofErr w:type="spellEnd"/>
      <w:r>
        <w:rPr>
          <w:rFonts w:eastAsia="Arial"/>
          <w:shd w:val="clear" w:color="auto" w:fill="FFFFFF"/>
        </w:rPr>
        <w:t xml:space="preserve"> et al., 2024).</w:t>
      </w:r>
      <w:r>
        <w:rPr>
          <w:rFonts w:eastAsia="NSimSun" w:cs="Lucida Sans"/>
          <w:lang w:eastAsia="zh-CN" w:bidi="hi-IN"/>
        </w:rPr>
        <w:t xml:space="preserve"> An</w:t>
      </w:r>
      <w:r>
        <w:t xml:space="preserve"> </w:t>
      </w:r>
      <w:r>
        <w:rPr>
          <w:rFonts w:eastAsia="NSimSun" w:cs="Lucida Sans"/>
          <w:color w:val="000000"/>
          <w:lang w:eastAsia="zh-CN" w:bidi="hi-IN"/>
        </w:rPr>
        <w:t xml:space="preserve">enhanced level of involvement with AI apps may be attributed to the fact that male students appear to be more comfortable using technology than female students </w:t>
      </w:r>
      <w:r>
        <w:t xml:space="preserve">(Møgelvang et al., 2024; Stöhr et al., 2024; </w:t>
      </w:r>
      <w:proofErr w:type="spellStart"/>
      <w:r>
        <w:t>Fihris</w:t>
      </w:r>
      <w:proofErr w:type="spellEnd"/>
      <w:r>
        <w:t xml:space="preserve"> et al., 2024)</w:t>
      </w:r>
      <w:r>
        <w:rPr>
          <w:rFonts w:eastAsia="NSimSun" w:cs="Lucida Sans"/>
          <w:color w:val="000000"/>
          <w:lang w:eastAsia="zh-CN" w:bidi="hi-IN"/>
        </w:rPr>
        <w:t xml:space="preserve">. </w:t>
      </w:r>
      <w:r>
        <w:rPr>
          <w:rFonts w:eastAsia="NSimSun" w:cs="Lucida Sans"/>
          <w:lang w:eastAsia="zh-CN" w:bidi="hi-IN"/>
        </w:rPr>
        <w:t>Because students who are more familiar with technology are more likely to use AI technologies efficiently, this participation gap may affect the overall success of AI in educational contexts (Delcker et al., 2024). In addition, female students might be less willing to integrate these technologies into their coursework since they are more concerned about the ethical ramifications of artificial intelligence (</w:t>
      </w:r>
      <w:r>
        <w:rPr>
          <w:rFonts w:eastAsia="Arial"/>
          <w:color w:val="222222"/>
          <w:lang w:eastAsia="zh-CN" w:bidi="hi-IN"/>
        </w:rPr>
        <w:t xml:space="preserve">Stöhr et al., </w:t>
      </w:r>
      <w:r>
        <w:rPr>
          <w:rFonts w:eastAsia="NSimSun" w:cs="Lucida Sans"/>
          <w:lang w:eastAsia="zh-CN" w:bidi="hi-IN"/>
        </w:rPr>
        <w:t>2024</w:t>
      </w:r>
      <w:r>
        <w:t xml:space="preserve">; </w:t>
      </w:r>
      <w:proofErr w:type="spellStart"/>
      <w:r>
        <w:t>Fihris</w:t>
      </w:r>
      <w:proofErr w:type="spellEnd"/>
      <w:r>
        <w:t xml:space="preserve"> et al., 2024). </w:t>
      </w:r>
    </w:p>
    <w:p w14:paraId="48AA7F06" w14:textId="77777777" w:rsidR="00E73B4A" w:rsidRDefault="00000000">
      <w:r>
        <w:rPr>
          <w:rFonts w:eastAsia="NSimSun" w:cs="Lucida Sans"/>
          <w:lang w:eastAsia="zh-CN" w:bidi="hi-IN"/>
        </w:rPr>
        <w:t>To guarantee that all students, regardless of gender, can utilise these technologies effectively, the integration of AI literacy across numerous topics is necessary (</w:t>
      </w:r>
      <w:proofErr w:type="spellStart"/>
      <w:r>
        <w:rPr>
          <w:rFonts w:eastAsia="NSimSun" w:cs="Lucida Sans"/>
          <w:lang w:eastAsia="zh-CN" w:bidi="hi-IN"/>
        </w:rPr>
        <w:t>Folmeg</w:t>
      </w:r>
      <w:proofErr w:type="spellEnd"/>
      <w:r>
        <w:rPr>
          <w:rFonts w:eastAsia="NSimSun" w:cs="Lucida Sans"/>
          <w:lang w:eastAsia="zh-CN" w:bidi="hi-IN"/>
        </w:rPr>
        <w:t xml:space="preserve"> et al., 2024; Nguyen et al., 2024). </w:t>
      </w:r>
      <w:r>
        <w:t xml:space="preserve"> Based on the literature, we formulated our first hypothesis: </w:t>
      </w:r>
    </w:p>
    <w:p w14:paraId="4FD7EF62" w14:textId="77777777" w:rsidR="00E73B4A" w:rsidRDefault="00000000">
      <w:r>
        <w:t>H1: Male students are more likely to use AI than females.</w:t>
      </w:r>
    </w:p>
    <w:p w14:paraId="2A075327" w14:textId="77777777" w:rsidR="00E73B4A" w:rsidRDefault="00000000">
      <w:pPr>
        <w:pStyle w:val="Heading2"/>
      </w:pPr>
      <w:bookmarkStart w:id="0" w:name="_heading=h.2w8aiooazyul"/>
      <w:bookmarkEnd w:id="0"/>
      <w:r>
        <w:t>Education differences in AI use</w:t>
      </w:r>
    </w:p>
    <w:p w14:paraId="760DBCC2" w14:textId="77777777" w:rsidR="00E73B4A" w:rsidRDefault="00000000">
      <w:r>
        <w:rPr>
          <w:rFonts w:eastAsia="Arial"/>
          <w:lang w:bidi="hi-IN"/>
        </w:rPr>
        <w:t>The level of education influences students' interactions with AI and attitudes towards AI</w:t>
      </w:r>
      <w:r>
        <w:rPr>
          <w:rFonts w:eastAsia="Arial"/>
          <w:lang w:eastAsia="zh-CN" w:bidi="hi-IN"/>
        </w:rPr>
        <w:t xml:space="preserve"> </w:t>
      </w:r>
      <w:r>
        <w:rPr>
          <w:rFonts w:eastAsia="NSimSun" w:cs="Lucida Sans"/>
          <w:lang w:eastAsia="zh-CN" w:bidi="hi-IN"/>
        </w:rPr>
        <w:t>(</w:t>
      </w:r>
      <w:r>
        <w:rPr>
          <w:rFonts w:eastAsia="Arial"/>
          <w:color w:val="222222"/>
          <w:lang w:bidi="hi-IN"/>
        </w:rPr>
        <w:t xml:space="preserve">Stöhr et al., </w:t>
      </w:r>
      <w:r>
        <w:rPr>
          <w:rFonts w:eastAsia="NSimSun" w:cs="Lucida Sans"/>
          <w:lang w:bidi="hi-IN"/>
        </w:rPr>
        <w:t xml:space="preserve">2024; </w:t>
      </w:r>
      <w:proofErr w:type="spellStart"/>
      <w:r>
        <w:rPr>
          <w:rFonts w:eastAsia="NSimSun" w:cs="Lucida Sans"/>
          <w:lang w:bidi="hi-IN"/>
        </w:rPr>
        <w:t>Arowosegbe</w:t>
      </w:r>
      <w:proofErr w:type="spellEnd"/>
      <w:r>
        <w:rPr>
          <w:rFonts w:eastAsia="NSimSun" w:cs="Lucida Sans"/>
          <w:lang w:bidi="hi-IN"/>
        </w:rPr>
        <w:t xml:space="preserve"> et al., 2024</w:t>
      </w:r>
      <w:r>
        <w:rPr>
          <w:rFonts w:eastAsia="Arial"/>
          <w:lang w:bidi="hi-IN"/>
        </w:rPr>
        <w:t>). Graduate students (MA and PhD) are more likely to engage with AI tools than undergraduate students (</w:t>
      </w:r>
      <w:proofErr w:type="spellStart"/>
      <w:r>
        <w:rPr>
          <w:rFonts w:eastAsia="Arial"/>
          <w:lang w:bidi="hi-IN"/>
        </w:rPr>
        <w:t>Arowosegbe</w:t>
      </w:r>
      <w:proofErr w:type="spellEnd"/>
      <w:r>
        <w:rPr>
          <w:rFonts w:eastAsia="Arial"/>
          <w:lang w:bidi="hi-IN"/>
        </w:rPr>
        <w:t xml:space="preserve"> et al., 2024; Strzelecki &amp; </w:t>
      </w:r>
      <w:proofErr w:type="spellStart"/>
      <w:r>
        <w:rPr>
          <w:rFonts w:eastAsia="Arial"/>
          <w:lang w:bidi="hi-IN"/>
        </w:rPr>
        <w:t>ElArabawy</w:t>
      </w:r>
      <w:proofErr w:type="spellEnd"/>
      <w:r>
        <w:rPr>
          <w:rFonts w:eastAsia="Arial"/>
          <w:lang w:bidi="hi-IN"/>
        </w:rPr>
        <w:t xml:space="preserve">, 2024). This tendency can be linked to their advanced research requirements and the complexity of their academic tasks, which frequently necessitate sophisticated AI systems for data analysis and feedback (Pang et al., 2024; </w:t>
      </w:r>
      <w:proofErr w:type="spellStart"/>
      <w:r>
        <w:rPr>
          <w:rFonts w:eastAsia="Arial"/>
          <w:lang w:bidi="hi-IN"/>
        </w:rPr>
        <w:t>Arowosegbe</w:t>
      </w:r>
      <w:proofErr w:type="spellEnd"/>
      <w:r>
        <w:rPr>
          <w:rFonts w:eastAsia="Arial"/>
          <w:lang w:bidi="hi-IN"/>
        </w:rPr>
        <w:t xml:space="preserve"> et al., 2024). For example, AI can deliver personalised learning experiences, which are especially advantageous for graduate students who demand individualised assistance with their studies (</w:t>
      </w:r>
      <w:proofErr w:type="spellStart"/>
      <w:r>
        <w:rPr>
          <w:rFonts w:eastAsia="Arial"/>
          <w:lang w:bidi="hi-IN"/>
        </w:rPr>
        <w:t>Fadlelmula</w:t>
      </w:r>
      <w:proofErr w:type="spellEnd"/>
      <w:r>
        <w:rPr>
          <w:rFonts w:eastAsia="Arial"/>
          <w:lang w:bidi="hi-IN"/>
        </w:rPr>
        <w:t xml:space="preserve"> &amp; Qadhi, 2024). Studying the attitudes of students in the fields of economics and business management and education showed that the perception of the benefits of AI in their profession becomes greater as students advance in their undergraduate and graduate studies. The majority also think that AI training will be beneficial or very beneficial for their careers (Almaraz-López et al., 2023). </w:t>
      </w:r>
    </w:p>
    <w:p w14:paraId="080F4428" w14:textId="77777777" w:rsidR="00E73B4A" w:rsidRDefault="00000000">
      <w:r>
        <w:rPr>
          <w:rFonts w:eastAsia="Arial"/>
          <w:color w:val="0E101A"/>
        </w:rPr>
        <w:t xml:space="preserve">Finally, students' engagement with AI is substantially influenced by their academic discipline. Møgelvang &amp; Grassini (2024) found that students in the Faculty of Engineering and Science as well as the Faculty of Economics and Social Sciences showed more positive attitudes towards AI than students in the Faculty of Health Sciences or the Faculty of Teacher Education, Culture and Sport Sciences. Research by Stöhr et al. (2024) shows that like medical students, humanities and arts students have a reserved and sceptical attitude towards AI compared to science and engineering students. Students in the social sciences were found in between the two large groups. AI is integrated into students' studies in different ways in different fields of study. In the social </w:t>
      </w:r>
      <w:r>
        <w:rPr>
          <w:rFonts w:eastAsia="Arial"/>
          <w:color w:val="0E101A"/>
        </w:rPr>
        <w:lastRenderedPageBreak/>
        <w:t xml:space="preserve">sciences, AI can revolutionize data analysis and questionnaire development, providing deeper social insights, but it requires human oversight due to ethical challenges such as bias and underrepresentation of certain groups (Nath et al., 2024; Gilardi et al., 2024; Bail, 2024). In the humanities, AI serves as a research tool and a subject of investigation, </w:t>
      </w:r>
      <w:proofErr w:type="spellStart"/>
      <w:r>
        <w:rPr>
          <w:rFonts w:eastAsia="Arial"/>
          <w:color w:val="0E101A"/>
        </w:rPr>
        <w:t>analyzing</w:t>
      </w:r>
      <w:proofErr w:type="spellEnd"/>
      <w:r>
        <w:rPr>
          <w:rFonts w:eastAsia="Arial"/>
          <w:color w:val="0E101A"/>
        </w:rPr>
        <w:t xml:space="preserve"> complex human questions (</w:t>
      </w:r>
      <w:proofErr w:type="spellStart"/>
      <w:r>
        <w:rPr>
          <w:rFonts w:eastAsia="Arial"/>
          <w:color w:val="0E101A"/>
        </w:rPr>
        <w:t>Samartoiy</w:t>
      </w:r>
      <w:proofErr w:type="spellEnd"/>
      <w:r>
        <w:rPr>
          <w:rFonts w:eastAsia="Arial"/>
          <w:color w:val="0E101A"/>
        </w:rPr>
        <w:t xml:space="preserve"> &amp; Davar, 2023). Resistance from disciplinary traditions, ethical concerns and the limited relevance of AI in their learning processes may explain the reluctance and scepticism of humanities students towards AI. </w:t>
      </w:r>
      <w:r>
        <w:rPr>
          <w:rStyle w:val="Strong"/>
          <w:rFonts w:eastAsia="Arial"/>
          <w:b w:val="0"/>
          <w:bCs w:val="0"/>
          <w:color w:val="0E101A"/>
        </w:rPr>
        <w:t>(Stöhr et al., 2024)</w:t>
      </w:r>
      <w:r>
        <w:rPr>
          <w:rFonts w:eastAsia="Arial"/>
          <w:color w:val="0E101A"/>
        </w:rPr>
        <w:t xml:space="preserve">. In teacher education, generative AI </w:t>
      </w:r>
      <w:proofErr w:type="gramStart"/>
      <w:r>
        <w:rPr>
          <w:rFonts w:eastAsia="Arial"/>
          <w:color w:val="0E101A"/>
        </w:rPr>
        <w:t>opens up</w:t>
      </w:r>
      <w:proofErr w:type="gramEnd"/>
      <w:r>
        <w:rPr>
          <w:rFonts w:eastAsia="Arial"/>
          <w:color w:val="0E101A"/>
        </w:rPr>
        <w:t xml:space="preserve"> new pedagogical possibilities while encouraging ethical reflection and critical evaluation of educational integration (Creely &amp; </w:t>
      </w:r>
      <w:proofErr w:type="spellStart"/>
      <w:r>
        <w:rPr>
          <w:rFonts w:eastAsia="Arial"/>
          <w:color w:val="0E101A"/>
        </w:rPr>
        <w:t>Blannin</w:t>
      </w:r>
      <w:proofErr w:type="spellEnd"/>
      <w:r>
        <w:rPr>
          <w:rFonts w:eastAsia="Arial"/>
          <w:color w:val="0E101A"/>
        </w:rPr>
        <w:t>, 2023). At the same time, the less positive attitudes towards AI among teacher trainees may be explained by their concern about the loss of knowledge and skills of students due to the uncritical use of generative AI (Møgelvang &amp; Grassini (2024).</w:t>
      </w:r>
    </w:p>
    <w:p w14:paraId="4CB678BD" w14:textId="77777777" w:rsidR="00E73B4A" w:rsidRDefault="00000000">
      <w:r>
        <w:t xml:space="preserve">These variations highlight how disciplinary needs and technological exposure shape students’ engagement with AI, balancing opportunities with critical </w:t>
      </w:r>
      <w:r>
        <w:rPr>
          <w:rFonts w:eastAsia="NSimSun" w:cs="Lucida Sans"/>
          <w:lang w:eastAsia="zh-CN" w:bidi="hi-IN"/>
        </w:rPr>
        <w:t>oversight-education</w:t>
      </w:r>
      <w:r>
        <w:t xml:space="preserve"> (full-time or correspondence). However, as the age of the users of the two types of education in Hungary is typically different, with older age groups studying in correspondence courses while working, age-related studies may be relevant.</w:t>
      </w:r>
      <w:r>
        <w:rPr>
          <w:lang w:val="hu-HU"/>
        </w:rPr>
        <w:t xml:space="preserve"> </w:t>
      </w:r>
      <w:r>
        <w:t>The results of studies on this are contradictory: while some have shown age-related differences in AI use (</w:t>
      </w:r>
      <w:r>
        <w:rPr>
          <w:rFonts w:eastAsia="Arial"/>
        </w:rPr>
        <w:t xml:space="preserve">Rahman et al., 2025; Chan &amp; Lee, 2023; Tin et al., 2024; </w:t>
      </w:r>
      <w:r>
        <w:rPr>
          <w:rFonts w:eastAsia="Arial"/>
          <w:lang w:val="hu-HU"/>
        </w:rPr>
        <w:t xml:space="preserve">Bokor </w:t>
      </w:r>
      <w:proofErr w:type="spellStart"/>
      <w:r>
        <w:rPr>
          <w:rFonts w:eastAsia="Arial"/>
          <w:lang w:val="hu-HU"/>
        </w:rPr>
        <w:t>et</w:t>
      </w:r>
      <w:proofErr w:type="spellEnd"/>
      <w:r>
        <w:rPr>
          <w:rFonts w:eastAsia="Arial"/>
          <w:lang w:val="hu-HU"/>
        </w:rPr>
        <w:t xml:space="preserve"> </w:t>
      </w:r>
      <w:proofErr w:type="spellStart"/>
      <w:r>
        <w:rPr>
          <w:rFonts w:eastAsia="Arial"/>
          <w:lang w:val="hu-HU"/>
        </w:rPr>
        <w:t>al</w:t>
      </w:r>
      <w:proofErr w:type="spellEnd"/>
      <w:r>
        <w:rPr>
          <w:rFonts w:eastAsia="Arial"/>
          <w:lang w:val="hu-HU"/>
        </w:rPr>
        <w:t xml:space="preserve">., 2022; </w:t>
      </w:r>
      <w:r>
        <w:rPr>
          <w:rFonts w:eastAsia="Arial"/>
          <w:color w:val="0E101A"/>
        </w:rPr>
        <w:t>Møgelvang &amp; Grassini 2024</w:t>
      </w:r>
      <w:r>
        <w:t>), others have not (Khater</w:t>
      </w:r>
      <w:r>
        <w:rPr>
          <w:lang w:val="hu-HU"/>
        </w:rPr>
        <w:t xml:space="preserve"> </w:t>
      </w:r>
      <w:proofErr w:type="spellStart"/>
      <w:r>
        <w:rPr>
          <w:lang w:val="hu-HU"/>
        </w:rPr>
        <w:t>et</w:t>
      </w:r>
      <w:proofErr w:type="spellEnd"/>
      <w:r>
        <w:rPr>
          <w:lang w:val="hu-HU"/>
        </w:rPr>
        <w:t xml:space="preserve"> </w:t>
      </w:r>
      <w:proofErr w:type="spellStart"/>
      <w:r>
        <w:rPr>
          <w:lang w:val="hu-HU"/>
        </w:rPr>
        <w:t>al</w:t>
      </w:r>
      <w:proofErr w:type="spellEnd"/>
      <w:r>
        <w:rPr>
          <w:lang w:val="hu-HU"/>
        </w:rPr>
        <w:t xml:space="preserve">., 2023; </w:t>
      </w:r>
      <w:r>
        <w:rPr>
          <w:color w:val="222222"/>
          <w:shd w:val="clear" w:color="auto" w:fill="FFFFFF"/>
        </w:rPr>
        <w:t>Kaya et al., 2024</w:t>
      </w:r>
      <w:r>
        <w:t>).</w:t>
      </w:r>
      <w:r>
        <w:rPr>
          <w:lang w:val="hu-HU"/>
        </w:rPr>
        <w:t xml:space="preserve"> </w:t>
      </w:r>
      <w:proofErr w:type="gramStart"/>
      <w:r>
        <w:t>In light of</w:t>
      </w:r>
      <w:proofErr w:type="gramEnd"/>
      <w:r>
        <w:t xml:space="preserve"> this, testing our </w:t>
      </w:r>
      <w:r>
        <w:rPr>
          <w:lang w:val="hu-HU"/>
        </w:rPr>
        <w:t xml:space="preserve">(H2) </w:t>
      </w:r>
      <w:r>
        <w:t>hypothesis is of particular importance.</w:t>
      </w:r>
    </w:p>
    <w:p w14:paraId="0F42CC12" w14:textId="77777777" w:rsidR="00E73B4A" w:rsidRDefault="00000000">
      <w:r>
        <w:t>Based on the literature, we formulated the following hypotheses:</w:t>
      </w:r>
    </w:p>
    <w:p w14:paraId="109B871D" w14:textId="77777777" w:rsidR="00E73B4A" w:rsidRDefault="00000000">
      <w:r>
        <w:rPr>
          <w:rFonts w:eastAsia="Arial"/>
        </w:rPr>
        <w:t xml:space="preserve">H2: Full-time </w:t>
      </w:r>
      <w:r>
        <w:t xml:space="preserve">students are more likely to use AI than </w:t>
      </w:r>
      <w:r>
        <w:rPr>
          <w:rFonts w:eastAsia="Arial"/>
        </w:rPr>
        <w:t xml:space="preserve">correspondence </w:t>
      </w:r>
      <w:r>
        <w:t>students.</w:t>
      </w:r>
    </w:p>
    <w:p w14:paraId="399B1C55" w14:textId="77777777" w:rsidR="00E73B4A" w:rsidRDefault="00000000">
      <w:r>
        <w:rPr>
          <w:rFonts w:eastAsia="Arial"/>
        </w:rPr>
        <w:t xml:space="preserve">H3: Students in the humanities and social sciences </w:t>
      </w:r>
      <w:r>
        <w:t xml:space="preserve">are more likely to use AI </w:t>
      </w:r>
      <w:r>
        <w:rPr>
          <w:rFonts w:eastAsia="Arial"/>
        </w:rPr>
        <w:t>than students in teacher education.</w:t>
      </w:r>
    </w:p>
    <w:p w14:paraId="0E9AB695" w14:textId="77777777" w:rsidR="00E73B4A" w:rsidRDefault="00000000">
      <w:r>
        <w:t>H4: MA and higher degree students are more likely to use AI than BA students.</w:t>
      </w:r>
    </w:p>
    <w:p w14:paraId="605B3377" w14:textId="77777777" w:rsidR="00E73B4A" w:rsidRDefault="00000000">
      <w:pPr>
        <w:pStyle w:val="Heading1"/>
      </w:pPr>
      <w:r>
        <w:t>Method</w:t>
      </w:r>
    </w:p>
    <w:p w14:paraId="25D2450F" w14:textId="77777777" w:rsidR="00E73B4A" w:rsidRDefault="00000000">
      <w:pPr>
        <w:pStyle w:val="Heading2"/>
      </w:pPr>
      <w:r>
        <w:t>Procedure</w:t>
      </w:r>
    </w:p>
    <w:p w14:paraId="0EB00859" w14:textId="77777777" w:rsidR="00E73B4A" w:rsidRDefault="00000000">
      <w:r>
        <w:t>During the sampling, we approached those higher education institutions at the institutional and departmental level, where undergraduate, master’s, or PhD programs are conducted in the fields of humanities, social sciences, and teacher education, on full-time or correspondence courses. We tried to reach the students via email or Facebook, with the help of department and institute leaders related to the courses. The online questionnaire was available on Survio.com between 14 September 2023 and 14 October 2023. Rajki's (2023) study provided the theoretical framework for our self-designed questionnaire, which discusses versatile applications and impacts of AI in education, highlighting both ethical and societal challenges. The questionnaire contained 27 questions, with three open-ended and 24 closed-ended questions.</w:t>
      </w:r>
    </w:p>
    <w:p w14:paraId="123D0524" w14:textId="77777777" w:rsidR="00E73B4A" w:rsidRDefault="00000000">
      <w:r>
        <w:rPr>
          <w:rFonts w:eastAsia="Arial"/>
          <w:color w:val="222222"/>
          <w:lang w:eastAsia="zh-CN" w:bidi="hi-IN"/>
        </w:rPr>
        <w:t>Ethical review and approval were waived for this study due to the following reasons:</w:t>
      </w:r>
      <w:r>
        <w:rPr>
          <w:rFonts w:eastAsia="Arial"/>
          <w:lang w:eastAsia="zh-CN" w:bidi="hi-IN"/>
        </w:rPr>
        <w:br/>
      </w:r>
      <w:r>
        <w:rPr>
          <w:rFonts w:eastAsia="Arial"/>
          <w:color w:val="222222"/>
          <w:lang w:eastAsia="zh-CN" w:bidi="hi-IN"/>
        </w:rPr>
        <w:t xml:space="preserve">All students were invited to participate in the study via email or Facebook, with the help of department and institute leaders. All participants received a complete description of the study in the form of a participant information sheet. All students were informed that their participation in the online survey would be anonymous and voluntary and that they could quit the online survey </w:t>
      </w:r>
      <w:r>
        <w:rPr>
          <w:rFonts w:eastAsia="Arial"/>
          <w:color w:val="222222"/>
          <w:lang w:eastAsia="zh-CN" w:bidi="hi-IN"/>
        </w:rPr>
        <w:lastRenderedPageBreak/>
        <w:t xml:space="preserve">whenever they wanted without suffering any disadvantage. All participants were informed that the results of the present study would be published after completion of the project. </w:t>
      </w:r>
    </w:p>
    <w:p w14:paraId="49FB0281" w14:textId="77777777" w:rsidR="00E73B4A" w:rsidRDefault="00000000">
      <w:pPr>
        <w:pStyle w:val="Heading2"/>
      </w:pPr>
      <w:r>
        <w:t>Sample</w:t>
      </w:r>
    </w:p>
    <w:p w14:paraId="3D9BF331" w14:textId="77777777" w:rsidR="00E73B4A" w:rsidRDefault="00000000">
      <w:r>
        <w:rPr>
          <w:rFonts w:eastAsia="Arial"/>
          <w:lang w:eastAsia="zh-CN" w:bidi="hi-IN"/>
        </w:rPr>
        <w:t>Our sample cannot be considered representative, but the large number of respondents (N=1027) allows us to draw some conclusions and correlations.</w:t>
      </w:r>
      <w:r>
        <w:rPr>
          <w:rFonts w:eastAsia="Arial"/>
        </w:rPr>
        <w:t xml:space="preserve"> Our questionnaire was completed by 1,201 people, of whom 1,027 were university/college students studying humanities, social sciences, or teacher education. Therefore, in the remainder of the study, only the data related to them will be presented and analysed in detail. 83.2% of our sample graduated at the bachelor’s level, 11.1% at the master’s level, 4.5% at the undivided level, and 1.3% at the PhD level. By field of education, 34.5% of students studied humanities, 43.7% in social sciences, and 21.8% in teacher education. In addition, 79.0% of respondents were female and 21.0% were male. The proportion of respondents who studied a modern language (11.3%), communication and media studies (13.4%), political science and international studies (11.3%), sociology (11.5%), psychology (11.1%) or pedagogy, teaching, or kindergarten teaching (19.8%) exceeded 10%.</w:t>
      </w:r>
    </w:p>
    <w:p w14:paraId="22CD80F5" w14:textId="77777777" w:rsidR="00E73B4A" w:rsidRDefault="00000000">
      <w:r>
        <w:t>Looking at the age distribution, more than half of the respondents (54.3%) were between 18 and 22 years old, 20.0% were between 23 and 30, and 25.7% were over 30. The distribution of full-time and correspondence students was 65.4% and 34.6%, respectively. In our sample, 37.3% did not work, 29.8% worked part-time, and 32.9% worked full-time during their university studies.  The socio-demographic characteristics of the full-time (672 students) and part-time (355 students) student populations are summarised in Table 1.</w:t>
      </w:r>
    </w:p>
    <w:p w14:paraId="40D90EE5" w14:textId="77777777" w:rsidR="00E73B4A" w:rsidRDefault="00000000">
      <w:r>
        <w:br w:type="page"/>
      </w:r>
    </w:p>
    <w:p w14:paraId="621D4380" w14:textId="77777777" w:rsidR="00E73B4A" w:rsidRDefault="00000000">
      <w:r>
        <w:lastRenderedPageBreak/>
        <w:t>Table 1</w:t>
      </w:r>
    </w:p>
    <w:p w14:paraId="17B37D50" w14:textId="77777777" w:rsidR="00E73B4A" w:rsidRDefault="00000000">
      <w:pPr>
        <w:pStyle w:val="TableTitle"/>
      </w:pPr>
      <w:r>
        <w:t>Socio-Demographic Comparison of Full-Time and Part-Time Students</w:t>
      </w:r>
    </w:p>
    <w:tbl>
      <w:tblPr>
        <w:tblW w:w="9510" w:type="dxa"/>
        <w:tblInd w:w="-198" w:type="dxa"/>
        <w:tblLayout w:type="fixed"/>
        <w:tblLook w:val="04A0" w:firstRow="1" w:lastRow="0" w:firstColumn="1" w:lastColumn="0" w:noHBand="0" w:noVBand="1"/>
      </w:tblPr>
      <w:tblGrid>
        <w:gridCol w:w="1762"/>
        <w:gridCol w:w="1972"/>
        <w:gridCol w:w="1411"/>
        <w:gridCol w:w="1304"/>
        <w:gridCol w:w="1761"/>
        <w:gridCol w:w="1300"/>
      </w:tblGrid>
      <w:tr w:rsidR="00E73B4A" w14:paraId="69DFBDD2" w14:textId="77777777">
        <w:trPr>
          <w:trHeight w:val="570"/>
        </w:trPr>
        <w:tc>
          <w:tcPr>
            <w:tcW w:w="1761" w:type="dxa"/>
            <w:tcBorders>
              <w:top w:val="single" w:sz="4" w:space="0" w:color="000000"/>
              <w:left w:val="single" w:sz="4" w:space="0" w:color="000000"/>
              <w:bottom w:val="single" w:sz="4" w:space="0" w:color="000000"/>
            </w:tcBorders>
          </w:tcPr>
          <w:p w14:paraId="5BDB2A8C" w14:textId="77777777" w:rsidR="00E73B4A" w:rsidRDefault="00000000">
            <w:pPr>
              <w:pStyle w:val="TableEmphasis"/>
            </w:pPr>
            <w:r>
              <w:t>Age</w:t>
            </w:r>
          </w:p>
        </w:tc>
        <w:tc>
          <w:tcPr>
            <w:tcW w:w="1972" w:type="dxa"/>
            <w:tcBorders>
              <w:top w:val="single" w:sz="4" w:space="0" w:color="000000"/>
              <w:left w:val="single" w:sz="4" w:space="0" w:color="000000"/>
              <w:bottom w:val="single" w:sz="4" w:space="0" w:color="000000"/>
            </w:tcBorders>
          </w:tcPr>
          <w:p w14:paraId="01FC1774" w14:textId="77777777" w:rsidR="00E73B4A" w:rsidRDefault="00000000">
            <w:pPr>
              <w:pStyle w:val="TableEmphasis"/>
            </w:pPr>
            <w:r>
              <w:t>Working while studying</w:t>
            </w:r>
          </w:p>
        </w:tc>
        <w:tc>
          <w:tcPr>
            <w:tcW w:w="2715" w:type="dxa"/>
            <w:gridSpan w:val="2"/>
            <w:tcBorders>
              <w:top w:val="single" w:sz="4" w:space="0" w:color="000000"/>
              <w:left w:val="single" w:sz="4" w:space="0" w:color="000000"/>
              <w:bottom w:val="single" w:sz="4" w:space="0" w:color="000000"/>
            </w:tcBorders>
          </w:tcPr>
          <w:p w14:paraId="3F1C6168" w14:textId="77777777" w:rsidR="00E73B4A" w:rsidRDefault="00000000">
            <w:pPr>
              <w:pStyle w:val="TableEmphasis"/>
            </w:pPr>
            <w:r>
              <w:rPr>
                <w:rFonts w:eastAsia="Arial"/>
                <w:sz w:val="16"/>
                <w:szCs w:val="16"/>
                <w:lang w:eastAsia="zh-CN" w:bidi="hi-IN"/>
              </w:rPr>
              <w:t>Full-</w:t>
            </w:r>
            <w:proofErr w:type="gramStart"/>
            <w:r>
              <w:rPr>
                <w:rFonts w:eastAsia="Arial"/>
                <w:sz w:val="16"/>
                <w:szCs w:val="16"/>
                <w:lang w:eastAsia="zh-CN" w:bidi="hi-IN"/>
              </w:rPr>
              <w:t>time</w:t>
            </w:r>
            <w:r>
              <w:rPr>
                <w:rFonts w:eastAsia="Arial"/>
                <w:color w:val="000000"/>
                <w:sz w:val="16"/>
                <w:szCs w:val="16"/>
                <w:shd w:val="clear" w:color="auto" w:fill="FFFFFF"/>
                <w:lang w:eastAsia="zh-CN" w:bidi="hi-IN"/>
              </w:rPr>
              <w:t>(</w:t>
            </w:r>
            <w:proofErr w:type="gramEnd"/>
            <w:r>
              <w:rPr>
                <w:rFonts w:eastAsia="Arial"/>
                <w:color w:val="000000"/>
                <w:sz w:val="16"/>
                <w:szCs w:val="16"/>
                <w:shd w:val="clear" w:color="auto" w:fill="FFFFFF"/>
                <w:lang w:eastAsia="zh-CN" w:bidi="hi-IN"/>
              </w:rPr>
              <w:t>65,4%)</w:t>
            </w:r>
          </w:p>
          <w:p w14:paraId="3ED1A953" w14:textId="77777777" w:rsidR="00E73B4A" w:rsidRDefault="00E73B4A">
            <w:pPr>
              <w:pStyle w:val="TableEmphasis"/>
            </w:pPr>
          </w:p>
        </w:tc>
        <w:tc>
          <w:tcPr>
            <w:tcW w:w="3061" w:type="dxa"/>
            <w:gridSpan w:val="2"/>
            <w:tcBorders>
              <w:top w:val="single" w:sz="4" w:space="0" w:color="000000"/>
              <w:left w:val="single" w:sz="4" w:space="0" w:color="000000"/>
              <w:bottom w:val="single" w:sz="4" w:space="0" w:color="000000"/>
              <w:right w:val="single" w:sz="4" w:space="0" w:color="000000"/>
            </w:tcBorders>
          </w:tcPr>
          <w:p w14:paraId="0C59BE21" w14:textId="77777777" w:rsidR="00E73B4A" w:rsidRDefault="00000000">
            <w:pPr>
              <w:pStyle w:val="TableEmphasis"/>
            </w:pPr>
            <w:r>
              <w:t>Correspondence (34,6%)</w:t>
            </w:r>
          </w:p>
        </w:tc>
      </w:tr>
      <w:tr w:rsidR="00E73B4A" w14:paraId="2FB37554" w14:textId="77777777">
        <w:trPr>
          <w:trHeight w:val="325"/>
        </w:trPr>
        <w:tc>
          <w:tcPr>
            <w:tcW w:w="1761" w:type="dxa"/>
            <w:tcBorders>
              <w:left w:val="single" w:sz="4" w:space="0" w:color="000000"/>
              <w:bottom w:val="single" w:sz="4" w:space="0" w:color="000000"/>
            </w:tcBorders>
          </w:tcPr>
          <w:p w14:paraId="47820638" w14:textId="77777777" w:rsidR="00E73B4A" w:rsidRDefault="00E73B4A">
            <w:pPr>
              <w:pStyle w:val="TableEmphasis"/>
            </w:pPr>
          </w:p>
        </w:tc>
        <w:tc>
          <w:tcPr>
            <w:tcW w:w="1972" w:type="dxa"/>
            <w:tcBorders>
              <w:left w:val="single" w:sz="4" w:space="0" w:color="000000"/>
              <w:bottom w:val="single" w:sz="4" w:space="0" w:color="000000"/>
            </w:tcBorders>
          </w:tcPr>
          <w:p w14:paraId="62355F85" w14:textId="77777777" w:rsidR="00E73B4A" w:rsidRDefault="00E73B4A">
            <w:pPr>
              <w:pStyle w:val="TableEmphasis"/>
            </w:pPr>
          </w:p>
        </w:tc>
        <w:tc>
          <w:tcPr>
            <w:tcW w:w="1411" w:type="dxa"/>
            <w:tcBorders>
              <w:left w:val="single" w:sz="4" w:space="0" w:color="000000"/>
              <w:bottom w:val="single" w:sz="4" w:space="0" w:color="000000"/>
            </w:tcBorders>
          </w:tcPr>
          <w:p w14:paraId="349E4E9A" w14:textId="77777777" w:rsidR="00E73B4A" w:rsidRDefault="00000000">
            <w:pPr>
              <w:pStyle w:val="TableEmphasis"/>
            </w:pPr>
            <w:r>
              <w:t>Number of People</w:t>
            </w:r>
          </w:p>
        </w:tc>
        <w:tc>
          <w:tcPr>
            <w:tcW w:w="1304" w:type="dxa"/>
            <w:tcBorders>
              <w:left w:val="single" w:sz="4" w:space="0" w:color="000000"/>
              <w:bottom w:val="single" w:sz="4" w:space="0" w:color="000000"/>
            </w:tcBorders>
          </w:tcPr>
          <w:p w14:paraId="383A4941" w14:textId="77777777" w:rsidR="00E73B4A" w:rsidRDefault="00000000">
            <w:pPr>
              <w:pStyle w:val="TableEmphasis"/>
            </w:pPr>
            <w:r>
              <w:t>Percentage</w:t>
            </w:r>
          </w:p>
        </w:tc>
        <w:tc>
          <w:tcPr>
            <w:tcW w:w="1761" w:type="dxa"/>
            <w:tcBorders>
              <w:left w:val="single" w:sz="4" w:space="0" w:color="000000"/>
              <w:bottom w:val="single" w:sz="4" w:space="0" w:color="000000"/>
            </w:tcBorders>
          </w:tcPr>
          <w:p w14:paraId="2F191E40" w14:textId="77777777" w:rsidR="00E73B4A" w:rsidRDefault="00000000">
            <w:pPr>
              <w:pStyle w:val="TableEmphasis"/>
            </w:pPr>
            <w:r>
              <w:t>Number of People</w:t>
            </w:r>
          </w:p>
        </w:tc>
        <w:tc>
          <w:tcPr>
            <w:tcW w:w="1300" w:type="dxa"/>
            <w:tcBorders>
              <w:left w:val="single" w:sz="4" w:space="0" w:color="000000"/>
              <w:bottom w:val="single" w:sz="4" w:space="0" w:color="000000"/>
              <w:right w:val="single" w:sz="4" w:space="0" w:color="000000"/>
            </w:tcBorders>
          </w:tcPr>
          <w:p w14:paraId="71AA5CB5" w14:textId="77777777" w:rsidR="00E73B4A" w:rsidRDefault="00000000">
            <w:pPr>
              <w:pStyle w:val="TableEmphasis"/>
            </w:pPr>
            <w:r>
              <w:t>Percentage</w:t>
            </w:r>
          </w:p>
        </w:tc>
      </w:tr>
      <w:tr w:rsidR="00E73B4A" w14:paraId="43879ED8" w14:textId="77777777">
        <w:tc>
          <w:tcPr>
            <w:tcW w:w="1761" w:type="dxa"/>
            <w:tcBorders>
              <w:left w:val="single" w:sz="4" w:space="0" w:color="000000"/>
              <w:bottom w:val="single" w:sz="4" w:space="0" w:color="000000"/>
            </w:tcBorders>
          </w:tcPr>
          <w:p w14:paraId="12A8EECF" w14:textId="77777777" w:rsidR="00E73B4A" w:rsidRDefault="00000000">
            <w:pPr>
              <w:pStyle w:val="TableEmphasis"/>
            </w:pPr>
            <w:r>
              <w:rPr>
                <w:rFonts w:eastAsia="Arial"/>
                <w:color w:val="000000"/>
                <w:sz w:val="16"/>
                <w:szCs w:val="16"/>
                <w:shd w:val="clear" w:color="auto" w:fill="FFFFFF"/>
                <w:lang w:eastAsia="zh-CN" w:bidi="hi-IN"/>
              </w:rPr>
              <w:t>18-22 years (54.3%)</w:t>
            </w:r>
          </w:p>
        </w:tc>
        <w:tc>
          <w:tcPr>
            <w:tcW w:w="1972" w:type="dxa"/>
            <w:tcBorders>
              <w:left w:val="single" w:sz="4" w:space="0" w:color="000000"/>
              <w:bottom w:val="single" w:sz="4" w:space="0" w:color="000000"/>
            </w:tcBorders>
          </w:tcPr>
          <w:p w14:paraId="75DE4620" w14:textId="77777777" w:rsidR="00E73B4A" w:rsidRDefault="00000000">
            <w:pPr>
              <w:pStyle w:val="TableEmphasis"/>
            </w:pPr>
            <w:r>
              <w:t>Full-time</w:t>
            </w:r>
          </w:p>
        </w:tc>
        <w:tc>
          <w:tcPr>
            <w:tcW w:w="1411" w:type="dxa"/>
            <w:tcBorders>
              <w:left w:val="single" w:sz="4" w:space="0" w:color="000000"/>
              <w:bottom w:val="single" w:sz="4" w:space="0" w:color="000000"/>
            </w:tcBorders>
          </w:tcPr>
          <w:p w14:paraId="6B352C0A" w14:textId="77777777" w:rsidR="00E73B4A" w:rsidRDefault="00000000">
            <w:pPr>
              <w:pStyle w:val="TableText"/>
            </w:pPr>
            <w:r>
              <w:t>12</w:t>
            </w:r>
          </w:p>
        </w:tc>
        <w:tc>
          <w:tcPr>
            <w:tcW w:w="1304" w:type="dxa"/>
            <w:tcBorders>
              <w:left w:val="single" w:sz="4" w:space="0" w:color="000000"/>
              <w:bottom w:val="single" w:sz="4" w:space="0" w:color="000000"/>
            </w:tcBorders>
          </w:tcPr>
          <w:p w14:paraId="71E7638E" w14:textId="77777777" w:rsidR="00E73B4A" w:rsidRDefault="00000000">
            <w:pPr>
              <w:pStyle w:val="TableText"/>
            </w:pPr>
            <w:r>
              <w:t>1.8</w:t>
            </w:r>
          </w:p>
        </w:tc>
        <w:tc>
          <w:tcPr>
            <w:tcW w:w="1761" w:type="dxa"/>
            <w:tcBorders>
              <w:left w:val="single" w:sz="4" w:space="0" w:color="000000"/>
              <w:bottom w:val="single" w:sz="4" w:space="0" w:color="000000"/>
            </w:tcBorders>
          </w:tcPr>
          <w:p w14:paraId="54E33C64" w14:textId="77777777" w:rsidR="00E73B4A" w:rsidRDefault="00000000">
            <w:pPr>
              <w:pStyle w:val="TableText"/>
            </w:pPr>
            <w:r>
              <w:t>21</w:t>
            </w:r>
          </w:p>
        </w:tc>
        <w:tc>
          <w:tcPr>
            <w:tcW w:w="1300" w:type="dxa"/>
            <w:tcBorders>
              <w:left w:val="single" w:sz="4" w:space="0" w:color="000000"/>
              <w:bottom w:val="single" w:sz="4" w:space="0" w:color="000000"/>
              <w:right w:val="single" w:sz="4" w:space="0" w:color="000000"/>
            </w:tcBorders>
          </w:tcPr>
          <w:p w14:paraId="2C90A145" w14:textId="77777777" w:rsidR="00E73B4A" w:rsidRDefault="00000000">
            <w:pPr>
              <w:pStyle w:val="TableText"/>
            </w:pPr>
            <w:r>
              <w:t>5.9</w:t>
            </w:r>
          </w:p>
        </w:tc>
      </w:tr>
      <w:tr w:rsidR="00E73B4A" w14:paraId="6F6D43E4" w14:textId="77777777">
        <w:tc>
          <w:tcPr>
            <w:tcW w:w="1761" w:type="dxa"/>
            <w:tcBorders>
              <w:left w:val="single" w:sz="4" w:space="0" w:color="000000"/>
              <w:bottom w:val="single" w:sz="4" w:space="0" w:color="000000"/>
            </w:tcBorders>
          </w:tcPr>
          <w:p w14:paraId="44E5A8F3" w14:textId="77777777" w:rsidR="00E73B4A" w:rsidRDefault="00E73B4A">
            <w:pPr>
              <w:pStyle w:val="TableEmphasis"/>
            </w:pPr>
          </w:p>
        </w:tc>
        <w:tc>
          <w:tcPr>
            <w:tcW w:w="1972" w:type="dxa"/>
            <w:tcBorders>
              <w:left w:val="single" w:sz="4" w:space="0" w:color="000000"/>
              <w:bottom w:val="single" w:sz="4" w:space="0" w:color="000000"/>
            </w:tcBorders>
          </w:tcPr>
          <w:p w14:paraId="398F3C02" w14:textId="77777777" w:rsidR="00E73B4A" w:rsidRDefault="00000000">
            <w:pPr>
              <w:pStyle w:val="TableEmphasis"/>
            </w:pPr>
            <w:r>
              <w:t>Part-time</w:t>
            </w:r>
          </w:p>
        </w:tc>
        <w:tc>
          <w:tcPr>
            <w:tcW w:w="1411" w:type="dxa"/>
            <w:tcBorders>
              <w:left w:val="single" w:sz="4" w:space="0" w:color="000000"/>
              <w:bottom w:val="single" w:sz="4" w:space="0" w:color="000000"/>
            </w:tcBorders>
          </w:tcPr>
          <w:p w14:paraId="46FDE860" w14:textId="77777777" w:rsidR="00E73B4A" w:rsidRDefault="00000000">
            <w:pPr>
              <w:pStyle w:val="TableText"/>
            </w:pPr>
            <w:r>
              <w:t>206</w:t>
            </w:r>
          </w:p>
        </w:tc>
        <w:tc>
          <w:tcPr>
            <w:tcW w:w="1304" w:type="dxa"/>
            <w:tcBorders>
              <w:left w:val="single" w:sz="4" w:space="0" w:color="000000"/>
              <w:bottom w:val="single" w:sz="4" w:space="0" w:color="000000"/>
            </w:tcBorders>
          </w:tcPr>
          <w:p w14:paraId="15C887F0" w14:textId="77777777" w:rsidR="00E73B4A" w:rsidRDefault="00000000">
            <w:pPr>
              <w:pStyle w:val="TableText"/>
            </w:pPr>
            <w:r>
              <w:t>30.7</w:t>
            </w:r>
          </w:p>
        </w:tc>
        <w:tc>
          <w:tcPr>
            <w:tcW w:w="1761" w:type="dxa"/>
            <w:tcBorders>
              <w:left w:val="single" w:sz="4" w:space="0" w:color="000000"/>
              <w:bottom w:val="single" w:sz="4" w:space="0" w:color="000000"/>
            </w:tcBorders>
          </w:tcPr>
          <w:p w14:paraId="4913CC97" w14:textId="77777777" w:rsidR="00E73B4A" w:rsidRDefault="00000000">
            <w:pPr>
              <w:pStyle w:val="TableText"/>
            </w:pPr>
            <w:r>
              <w:t>9</w:t>
            </w:r>
          </w:p>
        </w:tc>
        <w:tc>
          <w:tcPr>
            <w:tcW w:w="1300" w:type="dxa"/>
            <w:tcBorders>
              <w:left w:val="single" w:sz="4" w:space="0" w:color="000000"/>
              <w:bottom w:val="single" w:sz="4" w:space="0" w:color="000000"/>
              <w:right w:val="single" w:sz="4" w:space="0" w:color="000000"/>
            </w:tcBorders>
          </w:tcPr>
          <w:p w14:paraId="179CA4DC" w14:textId="77777777" w:rsidR="00E73B4A" w:rsidRDefault="00000000">
            <w:pPr>
              <w:pStyle w:val="TableText"/>
            </w:pPr>
            <w:r>
              <w:t>2.5</w:t>
            </w:r>
          </w:p>
        </w:tc>
      </w:tr>
      <w:tr w:rsidR="00E73B4A" w14:paraId="55236229" w14:textId="77777777">
        <w:tc>
          <w:tcPr>
            <w:tcW w:w="1761" w:type="dxa"/>
            <w:tcBorders>
              <w:left w:val="single" w:sz="4" w:space="0" w:color="000000"/>
              <w:bottom w:val="single" w:sz="4" w:space="0" w:color="000000"/>
            </w:tcBorders>
          </w:tcPr>
          <w:p w14:paraId="4DD275F7" w14:textId="77777777" w:rsidR="00E73B4A" w:rsidRDefault="00E73B4A">
            <w:pPr>
              <w:pStyle w:val="TableEmphasis"/>
            </w:pPr>
          </w:p>
        </w:tc>
        <w:tc>
          <w:tcPr>
            <w:tcW w:w="1972" w:type="dxa"/>
            <w:tcBorders>
              <w:left w:val="single" w:sz="4" w:space="0" w:color="000000"/>
              <w:bottom w:val="single" w:sz="4" w:space="0" w:color="000000"/>
            </w:tcBorders>
          </w:tcPr>
          <w:p w14:paraId="1E047367" w14:textId="77777777" w:rsidR="00E73B4A" w:rsidRDefault="00000000">
            <w:pPr>
              <w:pStyle w:val="TableEmphasis"/>
            </w:pPr>
            <w:r>
              <w:t>Currently not working while studying</w:t>
            </w:r>
          </w:p>
        </w:tc>
        <w:tc>
          <w:tcPr>
            <w:tcW w:w="1411" w:type="dxa"/>
            <w:tcBorders>
              <w:left w:val="single" w:sz="4" w:space="0" w:color="000000"/>
              <w:bottom w:val="single" w:sz="4" w:space="0" w:color="000000"/>
            </w:tcBorders>
          </w:tcPr>
          <w:p w14:paraId="2BCBF4C3" w14:textId="77777777" w:rsidR="00E73B4A" w:rsidRDefault="00000000">
            <w:pPr>
              <w:pStyle w:val="TableText"/>
            </w:pPr>
            <w:r>
              <w:t>303</w:t>
            </w:r>
          </w:p>
        </w:tc>
        <w:tc>
          <w:tcPr>
            <w:tcW w:w="1304" w:type="dxa"/>
            <w:tcBorders>
              <w:left w:val="single" w:sz="4" w:space="0" w:color="000000"/>
              <w:bottom w:val="single" w:sz="4" w:space="0" w:color="000000"/>
            </w:tcBorders>
          </w:tcPr>
          <w:p w14:paraId="4A79951C" w14:textId="77777777" w:rsidR="00E73B4A" w:rsidRDefault="00000000">
            <w:pPr>
              <w:pStyle w:val="TableText"/>
            </w:pPr>
            <w:r>
              <w:t>45.1</w:t>
            </w:r>
          </w:p>
        </w:tc>
        <w:tc>
          <w:tcPr>
            <w:tcW w:w="1761" w:type="dxa"/>
            <w:tcBorders>
              <w:left w:val="single" w:sz="4" w:space="0" w:color="000000"/>
              <w:bottom w:val="single" w:sz="4" w:space="0" w:color="000000"/>
            </w:tcBorders>
          </w:tcPr>
          <w:p w14:paraId="355A3CD2" w14:textId="77777777" w:rsidR="00E73B4A" w:rsidRDefault="00000000">
            <w:pPr>
              <w:pStyle w:val="TableText"/>
            </w:pPr>
            <w:r>
              <w:t>7</w:t>
            </w:r>
          </w:p>
        </w:tc>
        <w:tc>
          <w:tcPr>
            <w:tcW w:w="1300" w:type="dxa"/>
            <w:tcBorders>
              <w:left w:val="single" w:sz="4" w:space="0" w:color="000000"/>
              <w:bottom w:val="single" w:sz="4" w:space="0" w:color="000000"/>
              <w:right w:val="single" w:sz="4" w:space="0" w:color="000000"/>
            </w:tcBorders>
          </w:tcPr>
          <w:p w14:paraId="61DC2279" w14:textId="77777777" w:rsidR="00E73B4A" w:rsidRDefault="00000000">
            <w:pPr>
              <w:pStyle w:val="TableText"/>
            </w:pPr>
            <w:r>
              <w:t>2.0</w:t>
            </w:r>
          </w:p>
        </w:tc>
      </w:tr>
      <w:tr w:rsidR="00E73B4A" w14:paraId="33DD17C0" w14:textId="77777777">
        <w:tc>
          <w:tcPr>
            <w:tcW w:w="1761" w:type="dxa"/>
            <w:tcBorders>
              <w:left w:val="single" w:sz="4" w:space="0" w:color="000000"/>
              <w:bottom w:val="single" w:sz="4" w:space="0" w:color="000000"/>
            </w:tcBorders>
          </w:tcPr>
          <w:p w14:paraId="49798F71" w14:textId="77777777" w:rsidR="00E73B4A" w:rsidRDefault="00000000">
            <w:pPr>
              <w:pStyle w:val="TableEmphasis"/>
            </w:pPr>
            <w:r>
              <w:rPr>
                <w:rFonts w:eastAsia="Arial"/>
                <w:color w:val="000000"/>
                <w:sz w:val="16"/>
                <w:szCs w:val="16"/>
                <w:shd w:val="clear" w:color="auto" w:fill="FFFFFF"/>
                <w:lang w:eastAsia="zh-CN" w:bidi="hi-IN"/>
              </w:rPr>
              <w:t>23-30 years (20.0%)</w:t>
            </w:r>
          </w:p>
        </w:tc>
        <w:tc>
          <w:tcPr>
            <w:tcW w:w="1972" w:type="dxa"/>
            <w:tcBorders>
              <w:left w:val="single" w:sz="4" w:space="0" w:color="000000"/>
              <w:bottom w:val="single" w:sz="4" w:space="0" w:color="000000"/>
            </w:tcBorders>
          </w:tcPr>
          <w:p w14:paraId="5780C601" w14:textId="77777777" w:rsidR="00E73B4A" w:rsidRDefault="00000000">
            <w:pPr>
              <w:pStyle w:val="TableEmphasis"/>
            </w:pPr>
            <w:r>
              <w:t>Full-time</w:t>
            </w:r>
          </w:p>
        </w:tc>
        <w:tc>
          <w:tcPr>
            <w:tcW w:w="1411" w:type="dxa"/>
            <w:tcBorders>
              <w:left w:val="single" w:sz="4" w:space="0" w:color="000000"/>
              <w:bottom w:val="single" w:sz="4" w:space="0" w:color="000000"/>
            </w:tcBorders>
          </w:tcPr>
          <w:p w14:paraId="0238FA0C" w14:textId="77777777" w:rsidR="00E73B4A" w:rsidRDefault="00000000">
            <w:pPr>
              <w:pStyle w:val="TableText"/>
            </w:pPr>
            <w:r>
              <w:t>22</w:t>
            </w:r>
          </w:p>
        </w:tc>
        <w:tc>
          <w:tcPr>
            <w:tcW w:w="1304" w:type="dxa"/>
            <w:tcBorders>
              <w:left w:val="single" w:sz="4" w:space="0" w:color="000000"/>
              <w:bottom w:val="single" w:sz="4" w:space="0" w:color="000000"/>
            </w:tcBorders>
          </w:tcPr>
          <w:p w14:paraId="5EDD3E21" w14:textId="77777777" w:rsidR="00E73B4A" w:rsidRDefault="00000000">
            <w:pPr>
              <w:pStyle w:val="TableText"/>
            </w:pPr>
            <w:r>
              <w:t>3.3</w:t>
            </w:r>
          </w:p>
        </w:tc>
        <w:tc>
          <w:tcPr>
            <w:tcW w:w="1761" w:type="dxa"/>
            <w:tcBorders>
              <w:left w:val="single" w:sz="4" w:space="0" w:color="000000"/>
              <w:bottom w:val="single" w:sz="4" w:space="0" w:color="000000"/>
            </w:tcBorders>
          </w:tcPr>
          <w:p w14:paraId="68A5526D" w14:textId="77777777" w:rsidR="00E73B4A" w:rsidRDefault="00000000">
            <w:pPr>
              <w:pStyle w:val="TableText"/>
            </w:pPr>
            <w:r>
              <w:t>59</w:t>
            </w:r>
          </w:p>
        </w:tc>
        <w:tc>
          <w:tcPr>
            <w:tcW w:w="1300" w:type="dxa"/>
            <w:tcBorders>
              <w:left w:val="single" w:sz="4" w:space="0" w:color="000000"/>
              <w:bottom w:val="single" w:sz="4" w:space="0" w:color="000000"/>
              <w:right w:val="single" w:sz="4" w:space="0" w:color="000000"/>
            </w:tcBorders>
          </w:tcPr>
          <w:p w14:paraId="295819A8" w14:textId="77777777" w:rsidR="00E73B4A" w:rsidRDefault="00000000">
            <w:pPr>
              <w:pStyle w:val="TableText"/>
            </w:pPr>
            <w:r>
              <w:t>16.6</w:t>
            </w:r>
          </w:p>
        </w:tc>
      </w:tr>
      <w:tr w:rsidR="00E73B4A" w14:paraId="5CCF20ED" w14:textId="77777777">
        <w:tc>
          <w:tcPr>
            <w:tcW w:w="1761" w:type="dxa"/>
            <w:tcBorders>
              <w:left w:val="single" w:sz="4" w:space="0" w:color="000000"/>
              <w:bottom w:val="single" w:sz="4" w:space="0" w:color="000000"/>
            </w:tcBorders>
          </w:tcPr>
          <w:p w14:paraId="43E4F2CC" w14:textId="77777777" w:rsidR="00E73B4A" w:rsidRDefault="00E73B4A">
            <w:pPr>
              <w:pStyle w:val="TableEmphasis"/>
            </w:pPr>
          </w:p>
        </w:tc>
        <w:tc>
          <w:tcPr>
            <w:tcW w:w="1972" w:type="dxa"/>
            <w:tcBorders>
              <w:left w:val="single" w:sz="4" w:space="0" w:color="000000"/>
              <w:bottom w:val="single" w:sz="4" w:space="0" w:color="000000"/>
            </w:tcBorders>
          </w:tcPr>
          <w:p w14:paraId="414351FA" w14:textId="77777777" w:rsidR="00E73B4A" w:rsidRDefault="00000000">
            <w:pPr>
              <w:pStyle w:val="TableEmphasis"/>
            </w:pPr>
            <w:r>
              <w:t>Part-time</w:t>
            </w:r>
          </w:p>
        </w:tc>
        <w:tc>
          <w:tcPr>
            <w:tcW w:w="1411" w:type="dxa"/>
            <w:tcBorders>
              <w:left w:val="single" w:sz="4" w:space="0" w:color="000000"/>
              <w:bottom w:val="single" w:sz="4" w:space="0" w:color="000000"/>
            </w:tcBorders>
          </w:tcPr>
          <w:p w14:paraId="4EACC3CE" w14:textId="77777777" w:rsidR="00E73B4A" w:rsidRDefault="00000000">
            <w:pPr>
              <w:pStyle w:val="TableText"/>
            </w:pPr>
            <w:r>
              <w:t>64</w:t>
            </w:r>
          </w:p>
        </w:tc>
        <w:tc>
          <w:tcPr>
            <w:tcW w:w="1304" w:type="dxa"/>
            <w:tcBorders>
              <w:left w:val="single" w:sz="4" w:space="0" w:color="000000"/>
              <w:bottom w:val="single" w:sz="4" w:space="0" w:color="000000"/>
            </w:tcBorders>
          </w:tcPr>
          <w:p w14:paraId="54E08376" w14:textId="77777777" w:rsidR="00E73B4A" w:rsidRDefault="00000000">
            <w:pPr>
              <w:pStyle w:val="TableText"/>
            </w:pPr>
            <w:r>
              <w:t>9.5</w:t>
            </w:r>
          </w:p>
        </w:tc>
        <w:tc>
          <w:tcPr>
            <w:tcW w:w="1761" w:type="dxa"/>
            <w:tcBorders>
              <w:left w:val="single" w:sz="4" w:space="0" w:color="000000"/>
              <w:bottom w:val="single" w:sz="4" w:space="0" w:color="000000"/>
            </w:tcBorders>
          </w:tcPr>
          <w:p w14:paraId="4420269A" w14:textId="77777777" w:rsidR="00E73B4A" w:rsidRDefault="00000000">
            <w:pPr>
              <w:pStyle w:val="TableText"/>
            </w:pPr>
            <w:r>
              <w:t>9</w:t>
            </w:r>
          </w:p>
        </w:tc>
        <w:tc>
          <w:tcPr>
            <w:tcW w:w="1300" w:type="dxa"/>
            <w:tcBorders>
              <w:left w:val="single" w:sz="4" w:space="0" w:color="000000"/>
              <w:bottom w:val="single" w:sz="4" w:space="0" w:color="000000"/>
              <w:right w:val="single" w:sz="4" w:space="0" w:color="000000"/>
            </w:tcBorders>
          </w:tcPr>
          <w:p w14:paraId="2075A888" w14:textId="77777777" w:rsidR="00E73B4A" w:rsidRDefault="00000000">
            <w:pPr>
              <w:pStyle w:val="TableText"/>
            </w:pPr>
            <w:r>
              <w:t>2.5</w:t>
            </w:r>
          </w:p>
        </w:tc>
      </w:tr>
      <w:tr w:rsidR="00E73B4A" w14:paraId="5925C3CB" w14:textId="77777777">
        <w:tc>
          <w:tcPr>
            <w:tcW w:w="1761" w:type="dxa"/>
            <w:tcBorders>
              <w:left w:val="single" w:sz="4" w:space="0" w:color="000000"/>
              <w:bottom w:val="single" w:sz="4" w:space="0" w:color="000000"/>
            </w:tcBorders>
          </w:tcPr>
          <w:p w14:paraId="112F14CB" w14:textId="77777777" w:rsidR="00E73B4A" w:rsidRDefault="00E73B4A">
            <w:pPr>
              <w:pStyle w:val="TableEmphasis"/>
            </w:pPr>
          </w:p>
        </w:tc>
        <w:tc>
          <w:tcPr>
            <w:tcW w:w="1972" w:type="dxa"/>
            <w:tcBorders>
              <w:left w:val="single" w:sz="4" w:space="0" w:color="000000"/>
              <w:bottom w:val="single" w:sz="4" w:space="0" w:color="000000"/>
            </w:tcBorders>
          </w:tcPr>
          <w:p w14:paraId="563D6A6A" w14:textId="77777777" w:rsidR="00E73B4A" w:rsidRDefault="00000000">
            <w:pPr>
              <w:pStyle w:val="TableEmphasis"/>
            </w:pPr>
            <w:r>
              <w:t>Currently not working while studying</w:t>
            </w:r>
          </w:p>
        </w:tc>
        <w:tc>
          <w:tcPr>
            <w:tcW w:w="1411" w:type="dxa"/>
            <w:tcBorders>
              <w:left w:val="single" w:sz="4" w:space="0" w:color="000000"/>
              <w:bottom w:val="single" w:sz="4" w:space="0" w:color="000000"/>
            </w:tcBorders>
          </w:tcPr>
          <w:p w14:paraId="0D2846F8" w14:textId="77777777" w:rsidR="00E73B4A" w:rsidRDefault="00000000">
            <w:pPr>
              <w:pStyle w:val="TableText"/>
            </w:pPr>
            <w:r>
              <w:t>46</w:t>
            </w:r>
          </w:p>
        </w:tc>
        <w:tc>
          <w:tcPr>
            <w:tcW w:w="1304" w:type="dxa"/>
            <w:tcBorders>
              <w:left w:val="single" w:sz="4" w:space="0" w:color="000000"/>
              <w:bottom w:val="single" w:sz="4" w:space="0" w:color="000000"/>
            </w:tcBorders>
          </w:tcPr>
          <w:p w14:paraId="5D373F21" w14:textId="77777777" w:rsidR="00E73B4A" w:rsidRDefault="00000000">
            <w:pPr>
              <w:pStyle w:val="TableText"/>
            </w:pPr>
            <w:r>
              <w:t>6.8</w:t>
            </w:r>
          </w:p>
        </w:tc>
        <w:tc>
          <w:tcPr>
            <w:tcW w:w="1761" w:type="dxa"/>
            <w:tcBorders>
              <w:left w:val="single" w:sz="4" w:space="0" w:color="000000"/>
              <w:bottom w:val="single" w:sz="4" w:space="0" w:color="000000"/>
            </w:tcBorders>
          </w:tcPr>
          <w:p w14:paraId="2B7DC72E" w14:textId="77777777" w:rsidR="00E73B4A" w:rsidRDefault="00000000">
            <w:pPr>
              <w:pStyle w:val="TableText"/>
            </w:pPr>
            <w:r>
              <w:t>5</w:t>
            </w:r>
          </w:p>
        </w:tc>
        <w:tc>
          <w:tcPr>
            <w:tcW w:w="1300" w:type="dxa"/>
            <w:tcBorders>
              <w:left w:val="single" w:sz="4" w:space="0" w:color="000000"/>
              <w:bottom w:val="single" w:sz="4" w:space="0" w:color="000000"/>
              <w:right w:val="single" w:sz="4" w:space="0" w:color="000000"/>
            </w:tcBorders>
          </w:tcPr>
          <w:p w14:paraId="134F02A9" w14:textId="77777777" w:rsidR="00E73B4A" w:rsidRDefault="00000000">
            <w:pPr>
              <w:pStyle w:val="TableText"/>
            </w:pPr>
            <w:r>
              <w:t>1.4</w:t>
            </w:r>
          </w:p>
        </w:tc>
      </w:tr>
      <w:tr w:rsidR="00E73B4A" w14:paraId="667128B3" w14:textId="77777777">
        <w:tc>
          <w:tcPr>
            <w:tcW w:w="1761" w:type="dxa"/>
            <w:tcBorders>
              <w:left w:val="single" w:sz="4" w:space="0" w:color="000000"/>
              <w:bottom w:val="single" w:sz="4" w:space="0" w:color="000000"/>
            </w:tcBorders>
          </w:tcPr>
          <w:p w14:paraId="18D517A4" w14:textId="77777777" w:rsidR="00E73B4A" w:rsidRDefault="00000000">
            <w:pPr>
              <w:pStyle w:val="TableEmphasis"/>
            </w:pPr>
            <w:r>
              <w:rPr>
                <w:rFonts w:eastAsia="Arial"/>
                <w:color w:val="000000"/>
                <w:sz w:val="16"/>
                <w:szCs w:val="16"/>
                <w:shd w:val="clear" w:color="auto" w:fill="FFFFFF"/>
                <w:lang w:eastAsia="zh-CN" w:bidi="hi-IN"/>
              </w:rPr>
              <w:t>31+ years (25.7%)</w:t>
            </w:r>
          </w:p>
        </w:tc>
        <w:tc>
          <w:tcPr>
            <w:tcW w:w="1972" w:type="dxa"/>
            <w:tcBorders>
              <w:left w:val="single" w:sz="4" w:space="0" w:color="000000"/>
              <w:bottom w:val="single" w:sz="4" w:space="0" w:color="000000"/>
            </w:tcBorders>
          </w:tcPr>
          <w:p w14:paraId="41F8C0B3" w14:textId="77777777" w:rsidR="00E73B4A" w:rsidRDefault="00000000">
            <w:pPr>
              <w:pStyle w:val="TableEmphasis"/>
            </w:pPr>
            <w:r>
              <w:rPr>
                <w:rFonts w:eastAsia="Arial"/>
                <w:sz w:val="16"/>
                <w:szCs w:val="16"/>
                <w:lang w:eastAsia="zh-CN" w:bidi="hi-IN"/>
              </w:rPr>
              <w:t>Full-</w:t>
            </w:r>
            <w:r>
              <w:rPr>
                <w:rFonts w:eastAsia="Arial"/>
                <w:color w:val="000000"/>
                <w:sz w:val="16"/>
                <w:szCs w:val="16"/>
                <w:shd w:val="clear" w:color="auto" w:fill="FFFFFF"/>
                <w:lang w:eastAsia="zh-CN" w:bidi="hi-IN"/>
              </w:rPr>
              <w:t>time</w:t>
            </w:r>
          </w:p>
        </w:tc>
        <w:tc>
          <w:tcPr>
            <w:tcW w:w="1411" w:type="dxa"/>
            <w:tcBorders>
              <w:left w:val="single" w:sz="4" w:space="0" w:color="000000"/>
              <w:bottom w:val="single" w:sz="4" w:space="0" w:color="000000"/>
            </w:tcBorders>
          </w:tcPr>
          <w:p w14:paraId="7F056FDC" w14:textId="77777777" w:rsidR="00E73B4A" w:rsidRDefault="00000000">
            <w:pPr>
              <w:pStyle w:val="TableText"/>
            </w:pPr>
            <w:r>
              <w:t>10</w:t>
            </w:r>
          </w:p>
        </w:tc>
        <w:tc>
          <w:tcPr>
            <w:tcW w:w="1304" w:type="dxa"/>
            <w:tcBorders>
              <w:left w:val="single" w:sz="4" w:space="0" w:color="000000"/>
              <w:bottom w:val="single" w:sz="4" w:space="0" w:color="000000"/>
            </w:tcBorders>
          </w:tcPr>
          <w:p w14:paraId="0EA14D27" w14:textId="77777777" w:rsidR="00E73B4A" w:rsidRDefault="00000000">
            <w:pPr>
              <w:pStyle w:val="TableText"/>
            </w:pPr>
            <w:r>
              <w:t>1.5</w:t>
            </w:r>
          </w:p>
        </w:tc>
        <w:tc>
          <w:tcPr>
            <w:tcW w:w="1761" w:type="dxa"/>
            <w:tcBorders>
              <w:left w:val="single" w:sz="4" w:space="0" w:color="000000"/>
              <w:bottom w:val="single" w:sz="4" w:space="0" w:color="000000"/>
            </w:tcBorders>
          </w:tcPr>
          <w:p w14:paraId="5D1978CE" w14:textId="77777777" w:rsidR="00E73B4A" w:rsidRDefault="00000000">
            <w:pPr>
              <w:pStyle w:val="TableText"/>
            </w:pPr>
            <w:r>
              <w:t>214</w:t>
            </w:r>
          </w:p>
        </w:tc>
        <w:tc>
          <w:tcPr>
            <w:tcW w:w="1300" w:type="dxa"/>
            <w:tcBorders>
              <w:left w:val="single" w:sz="4" w:space="0" w:color="000000"/>
              <w:bottom w:val="single" w:sz="4" w:space="0" w:color="000000"/>
              <w:right w:val="single" w:sz="4" w:space="0" w:color="000000"/>
            </w:tcBorders>
          </w:tcPr>
          <w:p w14:paraId="353C540C" w14:textId="77777777" w:rsidR="00E73B4A" w:rsidRDefault="00000000">
            <w:pPr>
              <w:pStyle w:val="TableText"/>
            </w:pPr>
            <w:r>
              <w:t>60.3</w:t>
            </w:r>
          </w:p>
        </w:tc>
      </w:tr>
      <w:tr w:rsidR="00E73B4A" w14:paraId="1484DE21" w14:textId="77777777">
        <w:tc>
          <w:tcPr>
            <w:tcW w:w="1761" w:type="dxa"/>
            <w:tcBorders>
              <w:left w:val="single" w:sz="4" w:space="0" w:color="000000"/>
              <w:bottom w:val="single" w:sz="4" w:space="0" w:color="000000"/>
            </w:tcBorders>
          </w:tcPr>
          <w:p w14:paraId="1E333ACA" w14:textId="77777777" w:rsidR="00E73B4A" w:rsidRDefault="00E73B4A">
            <w:pPr>
              <w:pStyle w:val="TableEmphasis"/>
            </w:pPr>
          </w:p>
        </w:tc>
        <w:tc>
          <w:tcPr>
            <w:tcW w:w="1972" w:type="dxa"/>
            <w:tcBorders>
              <w:left w:val="single" w:sz="4" w:space="0" w:color="000000"/>
              <w:bottom w:val="single" w:sz="4" w:space="0" w:color="000000"/>
            </w:tcBorders>
          </w:tcPr>
          <w:p w14:paraId="2E63101B" w14:textId="77777777" w:rsidR="00E73B4A" w:rsidRDefault="00000000">
            <w:pPr>
              <w:pStyle w:val="TableEmphasis"/>
            </w:pPr>
            <w:r>
              <w:t>Part-time</w:t>
            </w:r>
          </w:p>
        </w:tc>
        <w:tc>
          <w:tcPr>
            <w:tcW w:w="1411" w:type="dxa"/>
            <w:tcBorders>
              <w:left w:val="single" w:sz="4" w:space="0" w:color="000000"/>
              <w:bottom w:val="single" w:sz="4" w:space="0" w:color="000000"/>
            </w:tcBorders>
          </w:tcPr>
          <w:p w14:paraId="296DA28B" w14:textId="77777777" w:rsidR="00E73B4A" w:rsidRDefault="00000000">
            <w:pPr>
              <w:pStyle w:val="TableText"/>
            </w:pPr>
            <w:r>
              <w:t>5</w:t>
            </w:r>
          </w:p>
        </w:tc>
        <w:tc>
          <w:tcPr>
            <w:tcW w:w="1304" w:type="dxa"/>
            <w:tcBorders>
              <w:left w:val="single" w:sz="4" w:space="0" w:color="000000"/>
              <w:bottom w:val="single" w:sz="4" w:space="0" w:color="000000"/>
            </w:tcBorders>
          </w:tcPr>
          <w:p w14:paraId="6E0173F4" w14:textId="77777777" w:rsidR="00E73B4A" w:rsidRDefault="00000000">
            <w:pPr>
              <w:pStyle w:val="TableText"/>
            </w:pPr>
            <w:r>
              <w:t>0.7</w:t>
            </w:r>
          </w:p>
        </w:tc>
        <w:tc>
          <w:tcPr>
            <w:tcW w:w="1761" w:type="dxa"/>
            <w:tcBorders>
              <w:left w:val="single" w:sz="4" w:space="0" w:color="000000"/>
              <w:bottom w:val="single" w:sz="4" w:space="0" w:color="000000"/>
            </w:tcBorders>
          </w:tcPr>
          <w:p w14:paraId="48CA4017" w14:textId="77777777" w:rsidR="00E73B4A" w:rsidRDefault="00000000">
            <w:pPr>
              <w:pStyle w:val="TableText"/>
            </w:pPr>
            <w:r>
              <w:t>13</w:t>
            </w:r>
          </w:p>
        </w:tc>
        <w:tc>
          <w:tcPr>
            <w:tcW w:w="1300" w:type="dxa"/>
            <w:tcBorders>
              <w:left w:val="single" w:sz="4" w:space="0" w:color="000000"/>
              <w:bottom w:val="single" w:sz="4" w:space="0" w:color="000000"/>
              <w:right w:val="single" w:sz="4" w:space="0" w:color="000000"/>
            </w:tcBorders>
          </w:tcPr>
          <w:p w14:paraId="12099424" w14:textId="77777777" w:rsidR="00E73B4A" w:rsidRDefault="00000000">
            <w:pPr>
              <w:pStyle w:val="TableText"/>
            </w:pPr>
            <w:r>
              <w:t>3.7</w:t>
            </w:r>
          </w:p>
        </w:tc>
      </w:tr>
      <w:tr w:rsidR="00E73B4A" w14:paraId="362F4671" w14:textId="77777777">
        <w:tc>
          <w:tcPr>
            <w:tcW w:w="1761" w:type="dxa"/>
            <w:tcBorders>
              <w:left w:val="single" w:sz="4" w:space="0" w:color="000000"/>
              <w:bottom w:val="single" w:sz="4" w:space="0" w:color="000000"/>
            </w:tcBorders>
          </w:tcPr>
          <w:p w14:paraId="484A628B" w14:textId="77777777" w:rsidR="00E73B4A" w:rsidRDefault="00E73B4A">
            <w:pPr>
              <w:pStyle w:val="TableEmphasis"/>
            </w:pPr>
          </w:p>
        </w:tc>
        <w:tc>
          <w:tcPr>
            <w:tcW w:w="1972" w:type="dxa"/>
            <w:tcBorders>
              <w:left w:val="single" w:sz="4" w:space="0" w:color="000000"/>
              <w:bottom w:val="single" w:sz="4" w:space="0" w:color="000000"/>
            </w:tcBorders>
          </w:tcPr>
          <w:p w14:paraId="68B33E11" w14:textId="77777777" w:rsidR="00E73B4A" w:rsidRDefault="00000000">
            <w:pPr>
              <w:pStyle w:val="TableEmphasis"/>
            </w:pPr>
            <w:r>
              <w:t>Currently not working while studying</w:t>
            </w:r>
          </w:p>
        </w:tc>
        <w:tc>
          <w:tcPr>
            <w:tcW w:w="1411" w:type="dxa"/>
            <w:tcBorders>
              <w:left w:val="single" w:sz="4" w:space="0" w:color="000000"/>
              <w:bottom w:val="single" w:sz="4" w:space="0" w:color="000000"/>
            </w:tcBorders>
          </w:tcPr>
          <w:p w14:paraId="3F610EA2" w14:textId="77777777" w:rsidR="00E73B4A" w:rsidRDefault="00000000">
            <w:pPr>
              <w:pStyle w:val="TableText"/>
            </w:pPr>
            <w:r>
              <w:t>4</w:t>
            </w:r>
          </w:p>
        </w:tc>
        <w:tc>
          <w:tcPr>
            <w:tcW w:w="1304" w:type="dxa"/>
            <w:tcBorders>
              <w:left w:val="single" w:sz="4" w:space="0" w:color="000000"/>
              <w:bottom w:val="single" w:sz="4" w:space="0" w:color="000000"/>
            </w:tcBorders>
          </w:tcPr>
          <w:p w14:paraId="097B2B61" w14:textId="77777777" w:rsidR="00E73B4A" w:rsidRDefault="00000000">
            <w:pPr>
              <w:pStyle w:val="TableText"/>
            </w:pPr>
            <w:r>
              <w:t>0.6</w:t>
            </w:r>
          </w:p>
        </w:tc>
        <w:tc>
          <w:tcPr>
            <w:tcW w:w="1761" w:type="dxa"/>
            <w:tcBorders>
              <w:left w:val="single" w:sz="4" w:space="0" w:color="000000"/>
              <w:bottom w:val="single" w:sz="4" w:space="0" w:color="000000"/>
            </w:tcBorders>
          </w:tcPr>
          <w:p w14:paraId="553BE980" w14:textId="77777777" w:rsidR="00E73B4A" w:rsidRDefault="00000000">
            <w:pPr>
              <w:pStyle w:val="TableText"/>
            </w:pPr>
            <w:r>
              <w:t>18</w:t>
            </w:r>
          </w:p>
        </w:tc>
        <w:tc>
          <w:tcPr>
            <w:tcW w:w="1300" w:type="dxa"/>
            <w:tcBorders>
              <w:left w:val="single" w:sz="4" w:space="0" w:color="000000"/>
              <w:bottom w:val="single" w:sz="4" w:space="0" w:color="000000"/>
              <w:right w:val="single" w:sz="4" w:space="0" w:color="000000"/>
            </w:tcBorders>
          </w:tcPr>
          <w:p w14:paraId="7679B55A" w14:textId="77777777" w:rsidR="00E73B4A" w:rsidRDefault="00000000">
            <w:pPr>
              <w:pStyle w:val="TableText"/>
            </w:pPr>
            <w:r>
              <w:t>5.1</w:t>
            </w:r>
          </w:p>
        </w:tc>
      </w:tr>
      <w:tr w:rsidR="00E73B4A" w14:paraId="13212BCF" w14:textId="77777777">
        <w:tc>
          <w:tcPr>
            <w:tcW w:w="1761" w:type="dxa"/>
            <w:tcBorders>
              <w:left w:val="single" w:sz="4" w:space="0" w:color="000000"/>
              <w:bottom w:val="single" w:sz="4" w:space="0" w:color="000000"/>
            </w:tcBorders>
          </w:tcPr>
          <w:p w14:paraId="4EAE238F" w14:textId="77777777" w:rsidR="00E73B4A" w:rsidRDefault="00000000">
            <w:pPr>
              <w:pStyle w:val="TableEmphasis"/>
            </w:pPr>
            <w:r>
              <w:t>Total</w:t>
            </w:r>
          </w:p>
        </w:tc>
        <w:tc>
          <w:tcPr>
            <w:tcW w:w="1972" w:type="dxa"/>
            <w:tcBorders>
              <w:left w:val="single" w:sz="4" w:space="0" w:color="000000"/>
              <w:bottom w:val="single" w:sz="4" w:space="0" w:color="000000"/>
            </w:tcBorders>
          </w:tcPr>
          <w:p w14:paraId="0996FBDF" w14:textId="77777777" w:rsidR="00E73B4A" w:rsidRDefault="00E73B4A">
            <w:pPr>
              <w:pStyle w:val="TableEmphasis"/>
            </w:pPr>
          </w:p>
        </w:tc>
        <w:tc>
          <w:tcPr>
            <w:tcW w:w="1411" w:type="dxa"/>
            <w:tcBorders>
              <w:left w:val="single" w:sz="4" w:space="0" w:color="000000"/>
              <w:bottom w:val="single" w:sz="4" w:space="0" w:color="000000"/>
            </w:tcBorders>
          </w:tcPr>
          <w:p w14:paraId="0049421A" w14:textId="77777777" w:rsidR="00E73B4A" w:rsidRDefault="00000000">
            <w:pPr>
              <w:pStyle w:val="TableText"/>
            </w:pPr>
            <w:r>
              <w:t>672</w:t>
            </w:r>
          </w:p>
        </w:tc>
        <w:tc>
          <w:tcPr>
            <w:tcW w:w="1304" w:type="dxa"/>
            <w:tcBorders>
              <w:left w:val="single" w:sz="4" w:space="0" w:color="000000"/>
              <w:bottom w:val="single" w:sz="4" w:space="0" w:color="000000"/>
            </w:tcBorders>
          </w:tcPr>
          <w:p w14:paraId="157999BE" w14:textId="77777777" w:rsidR="00E73B4A" w:rsidRDefault="00000000">
            <w:pPr>
              <w:pStyle w:val="TableText"/>
            </w:pPr>
            <w:r>
              <w:t>100.0</w:t>
            </w:r>
          </w:p>
        </w:tc>
        <w:tc>
          <w:tcPr>
            <w:tcW w:w="1761" w:type="dxa"/>
            <w:tcBorders>
              <w:left w:val="single" w:sz="4" w:space="0" w:color="000000"/>
              <w:bottom w:val="single" w:sz="4" w:space="0" w:color="000000"/>
            </w:tcBorders>
          </w:tcPr>
          <w:p w14:paraId="750BCDA3" w14:textId="77777777" w:rsidR="00E73B4A" w:rsidRDefault="00000000">
            <w:pPr>
              <w:pStyle w:val="TableText"/>
            </w:pPr>
            <w:r>
              <w:t>355</w:t>
            </w:r>
          </w:p>
        </w:tc>
        <w:tc>
          <w:tcPr>
            <w:tcW w:w="1300" w:type="dxa"/>
            <w:tcBorders>
              <w:left w:val="single" w:sz="4" w:space="0" w:color="000000"/>
              <w:bottom w:val="single" w:sz="4" w:space="0" w:color="000000"/>
              <w:right w:val="single" w:sz="4" w:space="0" w:color="000000"/>
            </w:tcBorders>
          </w:tcPr>
          <w:p w14:paraId="60DCD696" w14:textId="77777777" w:rsidR="00E73B4A" w:rsidRDefault="00000000">
            <w:pPr>
              <w:pStyle w:val="TableText"/>
            </w:pPr>
            <w:r>
              <w:t>100.0</w:t>
            </w:r>
          </w:p>
        </w:tc>
      </w:tr>
    </w:tbl>
    <w:p w14:paraId="7A9A6C94" w14:textId="77777777" w:rsidR="00E73B4A" w:rsidRDefault="00000000">
      <w:r>
        <w:rPr>
          <w:rFonts w:eastAsia="Arial"/>
          <w:lang w:eastAsia="zh-CN" w:bidi="hi-IN"/>
        </w:rPr>
        <w:t xml:space="preserve">Table 1 illustrates that </w:t>
      </w:r>
      <w:proofErr w:type="gramStart"/>
      <w:r>
        <w:rPr>
          <w:rFonts w:eastAsia="Arial"/>
          <w:lang w:eastAsia="zh-CN" w:bidi="hi-IN"/>
        </w:rPr>
        <w:t>the majority of</w:t>
      </w:r>
      <w:proofErr w:type="gramEnd"/>
      <w:r>
        <w:rPr>
          <w:rFonts w:eastAsia="Arial"/>
          <w:lang w:eastAsia="zh-CN" w:bidi="hi-IN"/>
        </w:rPr>
        <w:t xml:space="preserve"> full-time students fall into two main categories</w:t>
      </w:r>
      <w:r>
        <w:rPr>
          <w:rFonts w:eastAsia="Arial"/>
          <w:i/>
          <w:lang w:eastAsia="zh-CN" w:bidi="hi-IN"/>
        </w:rPr>
        <w:t xml:space="preserve">: </w:t>
      </w:r>
      <w:r>
        <w:rPr>
          <w:rFonts w:eastAsia="Arial"/>
          <w:lang w:eastAsia="zh-CN" w:bidi="hi-IN"/>
        </w:rPr>
        <w:t xml:space="preserve">those aged 18-22 who are not employed during their studies (representing almost half, or 45.1%) and those of the same age group who are engaged in part-time work while studying (30.7%). In contrast, the percentage of students aged 30 and over is minimal. A significant proportion of correspondence students are either aged 30 and above (69.1%) or are engaged in full-time employment while studying (82.8%). However, due to the reasons previously stated, only the clerkship variable was incorporated into the model, excluding the age and employment variables. </w:t>
      </w:r>
    </w:p>
    <w:p w14:paraId="11445571" w14:textId="77777777" w:rsidR="00E73B4A" w:rsidRDefault="00000000">
      <w:pPr>
        <w:pStyle w:val="Heading2"/>
      </w:pPr>
      <w:r>
        <w:t>Measures</w:t>
      </w:r>
    </w:p>
    <w:p w14:paraId="058E8448" w14:textId="77777777" w:rsidR="00E73B4A" w:rsidRDefault="00000000">
      <w:r>
        <w:t xml:space="preserve">In this research, we wanted to investigate the aspects of AI use listed below and measure them using the detailed variables. To test the concepts of (1) Extent of Awareness and (2) Sources of Awareness, participants were asked whether they had encountered the concept of AI in the four areas we wanted to investigate. The Extent of Awareness was measured by the number of domains, while Sources of Awareness were measured by the four binary variables corresponding to the four domains. To examine (3) the Extent of Tool Use and (4) Tools Used/Tried, we asked participants whether they had used the seven most popular AI-based tools we listed in their studies. The Extent of Device Use was measured by the number of AI tools used, while the Used/Tried Tools were examined using the seven binary variables corresponding to the seven tools. To measure (5) the Extent of Application Area and (6) Areas of Intended Use, participants were asked whether they would use an AI tool from the nine areas/objectives under study during their studies. Application area extent was measured by the number of places indicated, and Areas </w:t>
      </w:r>
      <w:r>
        <w:lastRenderedPageBreak/>
        <w:t xml:space="preserve">of Intended Use were measured by the nine binary variables corresponding to the nine areas listed. Finally, to investigate the Amount of (7) Inhibiting Factors and the Inhibiting Factors, we asked participants whether the seven most common factors we listed inhibited their use of AI. The </w:t>
      </w:r>
      <w:proofErr w:type="gramStart"/>
      <w:r>
        <w:t>Amount</w:t>
      </w:r>
      <w:proofErr w:type="gramEnd"/>
      <w:r>
        <w:t xml:space="preserve"> of Inhibiting Factors was measured by the number of Inhibiting Factors indicated, while the Inhibiting Factors were examined using the seven binary variables corresponding to the seven factors.</w:t>
      </w:r>
    </w:p>
    <w:p w14:paraId="4775626C" w14:textId="77777777" w:rsidR="00E73B4A" w:rsidRDefault="00000000">
      <w:pPr>
        <w:pStyle w:val="Heading2"/>
      </w:pPr>
      <w:r>
        <w:t>Data analysis</w:t>
      </w:r>
    </w:p>
    <w:p w14:paraId="7D4D9FC6" w14:textId="77777777" w:rsidR="00E73B4A" w:rsidRDefault="00000000">
      <w:pPr>
        <w:pStyle w:val="normal11"/>
        <w:rPr>
          <w:rFonts w:ascii="Arial" w:hAnsi="Arial"/>
        </w:rPr>
      </w:pPr>
      <w:r>
        <w:rPr>
          <w:rFonts w:ascii="Arial" w:eastAsia="Arial" w:hAnsi="Arial" w:cs="Arial"/>
          <w:sz w:val="22"/>
          <w:szCs w:val="22"/>
        </w:rPr>
        <w:t xml:space="preserve">The independent variables that we investigate are: type of education (1: full-time, 2: correspondence); type of work outside the university (1: full-time, 2: part-time, 3: not working); gender (1: male, 2: female); age (scale); level of education (1: bachelor, 2: master, master's, doctoral, PhD) and field of education (1: humanities, 2: social sciences, 3: teacher education). Comparisons between faculties and universities are not possible due to the composition of our sample. For the descriptive analysis of the variables under study, we provide item counts and frequencies (proportions). The effect of each independent variable on the scaling variables measuring the intensity of AI use – Extent of Awareness, Extent of Device Use, Extent of Application Area, and </w:t>
      </w:r>
      <w:proofErr w:type="gramStart"/>
      <w:r>
        <w:rPr>
          <w:rFonts w:ascii="Arial" w:eastAsia="Arial" w:hAnsi="Arial" w:cs="Arial"/>
          <w:sz w:val="22"/>
          <w:szCs w:val="22"/>
        </w:rPr>
        <w:t>Amount</w:t>
      </w:r>
      <w:proofErr w:type="gramEnd"/>
      <w:r>
        <w:rPr>
          <w:rFonts w:ascii="Arial" w:eastAsia="Arial" w:hAnsi="Arial" w:cs="Arial"/>
          <w:sz w:val="22"/>
          <w:szCs w:val="22"/>
        </w:rPr>
        <w:t xml:space="preserve"> of Inhibiting Factors – as dependent variables were examined by setting up multinomial logistic regression models. (Cross-tabulations were used to ensure that no combination of low-level variables </w:t>
      </w:r>
      <w:proofErr w:type="gramStart"/>
      <w:r>
        <w:rPr>
          <w:rFonts w:ascii="Arial" w:eastAsia="Arial" w:hAnsi="Arial" w:cs="Arial"/>
          <w:sz w:val="22"/>
          <w:szCs w:val="22"/>
        </w:rPr>
        <w:t>were</w:t>
      </w:r>
      <w:proofErr w:type="gramEnd"/>
      <w:r>
        <w:rPr>
          <w:rFonts w:ascii="Arial" w:eastAsia="Arial" w:hAnsi="Arial" w:cs="Arial"/>
          <w:sz w:val="22"/>
          <w:szCs w:val="22"/>
        </w:rPr>
        <w:t xml:space="preserve"> found where the number of cases did not exceed 5.). </w:t>
      </w:r>
      <w:r>
        <w:rPr>
          <w:rFonts w:ascii="Arial" w:eastAsia="Arial" w:hAnsi="Arial" w:cs="Arial"/>
          <w:color w:val="000000"/>
          <w:sz w:val="22"/>
          <w:szCs w:val="22"/>
          <w:shd w:val="clear" w:color="auto" w:fill="FFFFFF"/>
        </w:rPr>
        <w:t xml:space="preserve">The relationship between each independent variable and the binary dependent variables – Sources of Awareness, Devices Used/Tried, Areas of Intended Use, and Inhibiting Factors – was tested using Pearson's chi-square test. </w:t>
      </w:r>
      <w:r>
        <w:rPr>
          <w:rFonts w:ascii="Arial" w:eastAsia="Arial" w:hAnsi="Arial" w:cs="Arial"/>
          <w:sz w:val="22"/>
          <w:szCs w:val="22"/>
        </w:rPr>
        <w:t>Data processing was performed using IBM SPSS 28.0 software, and MS Excel was used to create the graphs.</w:t>
      </w:r>
    </w:p>
    <w:p w14:paraId="25F76744" w14:textId="77777777" w:rsidR="00E73B4A" w:rsidRDefault="00000000">
      <w:pPr>
        <w:pStyle w:val="Heading1"/>
        <w:spacing w:after="119"/>
      </w:pPr>
      <w:r>
        <w:rPr>
          <w:rFonts w:eastAsia="NSimSun" w:cs="Lucida Sans"/>
          <w:lang w:bidi="hi-IN"/>
        </w:rPr>
        <w:t xml:space="preserve">Results </w:t>
      </w:r>
    </w:p>
    <w:p w14:paraId="1F416A9B" w14:textId="77777777" w:rsidR="00E73B4A" w:rsidRDefault="00000000">
      <w:pPr>
        <w:pStyle w:val="Heading2"/>
      </w:pPr>
      <w:r>
        <w:rPr>
          <w:rFonts w:eastAsia="NSimSun" w:cs="Lucida Sans"/>
          <w:lang w:bidi="hi-IN"/>
        </w:rPr>
        <w:t>Logistic Regression</w:t>
      </w:r>
      <w:r>
        <w:t xml:space="preserve"> Findings</w:t>
      </w:r>
    </w:p>
    <w:p w14:paraId="2BA37A0D" w14:textId="77777777" w:rsidR="00E73B4A" w:rsidRDefault="00000000">
      <w:r>
        <w:rPr>
          <w:rFonts w:eastAsia="Arial"/>
          <w:color w:val="000000"/>
          <w:shd w:val="clear" w:color="auto" w:fill="FFFFFF"/>
          <w:lang w:eastAsia="zh-CN" w:bidi="hi-IN"/>
        </w:rPr>
        <w:t xml:space="preserve">The analysis was conducted using four multinomial regression models with the variables Extent of Awareness, Extent of Device Use, Extent of Application Area, and </w:t>
      </w:r>
      <w:proofErr w:type="gramStart"/>
      <w:r>
        <w:rPr>
          <w:rFonts w:eastAsia="Arial"/>
          <w:color w:val="000000"/>
          <w:shd w:val="clear" w:color="auto" w:fill="FFFFFF"/>
          <w:lang w:eastAsia="zh-CN" w:bidi="hi-IN"/>
        </w:rPr>
        <w:t>Amount</w:t>
      </w:r>
      <w:proofErr w:type="gramEnd"/>
      <w:r>
        <w:rPr>
          <w:rFonts w:eastAsia="Arial"/>
          <w:color w:val="000000"/>
          <w:shd w:val="clear" w:color="auto" w:fill="FFFFFF"/>
          <w:lang w:eastAsia="zh-CN" w:bidi="hi-IN"/>
        </w:rPr>
        <w:t xml:space="preserve"> of Inhibiting Factors as dependent variables. The explanatory variables were the type of education (1: full-time, 2: correspondence), gender (1: male, 2: female), level of education (1: bachelor’s, 2: master’s, </w:t>
      </w:r>
      <w:r>
        <w:rPr>
          <w:rFonts w:eastAsia="Arial"/>
          <w:lang w:eastAsia="zh-CN" w:bidi="hi-IN"/>
        </w:rPr>
        <w:t>undivided, PhD), and field of education (1: humanities, 2: social sciences, 3: teacher education). The variables were entered into the models using the enter method so that the explanatory variables had a combined effect. No confounding multicollinearity between variables was found (all VIF &lt; 1.389). The inclusion of these variables resulted in an acceptable model, with the results of the Likelihood ratio chi-square test showing that the models are better predictors than the empty model without explanatory variables (</w:t>
      </w:r>
      <w:r>
        <w:rPr>
          <w:rFonts w:eastAsia="Arial"/>
          <w:i/>
          <w:lang w:eastAsia="zh-CN" w:bidi="hi-IN"/>
        </w:rPr>
        <w:t>p</w:t>
      </w:r>
      <w:r>
        <w:rPr>
          <w:rFonts w:eastAsia="Arial"/>
          <w:lang w:eastAsia="zh-CN" w:bidi="hi-IN"/>
        </w:rPr>
        <w:t xml:space="preserve"> &lt; .001 in all four cases). The effect size of the models is weak (Nagelkerke pseudo-R</w:t>
      </w:r>
      <w:r>
        <w:rPr>
          <w:rFonts w:eastAsia="Arial"/>
          <w:vertAlign w:val="superscript"/>
          <w:lang w:eastAsia="zh-CN" w:bidi="hi-IN"/>
        </w:rPr>
        <w:t>2</w:t>
      </w:r>
      <w:r>
        <w:rPr>
          <w:rFonts w:eastAsia="Arial"/>
          <w:lang w:eastAsia="zh-CN" w:bidi="hi-IN"/>
        </w:rPr>
        <w:t xml:space="preserve"> indicators range from 6.0% to 16.3% (Table 2).</w:t>
      </w:r>
      <w:r>
        <w:br w:type="page"/>
      </w:r>
    </w:p>
    <w:p w14:paraId="398E11F9" w14:textId="77777777" w:rsidR="00E73B4A" w:rsidRDefault="00000000">
      <w:pPr>
        <w:pStyle w:val="TableNumber"/>
      </w:pPr>
      <w:r>
        <w:lastRenderedPageBreak/>
        <w:t>Table 2</w:t>
      </w:r>
    </w:p>
    <w:p w14:paraId="1A5461B7" w14:textId="77777777" w:rsidR="00E73B4A" w:rsidRDefault="00000000">
      <w:pPr>
        <w:pStyle w:val="TableTitle"/>
      </w:pPr>
      <w:r>
        <w:t>Results of Multinomial Logistic Regressions</w:t>
      </w:r>
    </w:p>
    <w:tbl>
      <w:tblPr>
        <w:tblW w:w="9163" w:type="dxa"/>
        <w:tblInd w:w="-5" w:type="dxa"/>
        <w:tblLayout w:type="fixed"/>
        <w:tblLook w:val="04A0" w:firstRow="1" w:lastRow="0" w:firstColumn="1" w:lastColumn="0" w:noHBand="0" w:noVBand="1"/>
      </w:tblPr>
      <w:tblGrid>
        <w:gridCol w:w="975"/>
        <w:gridCol w:w="678"/>
        <w:gridCol w:w="690"/>
        <w:gridCol w:w="671"/>
        <w:gridCol w:w="690"/>
        <w:gridCol w:w="720"/>
        <w:gridCol w:w="690"/>
        <w:gridCol w:w="587"/>
        <w:gridCol w:w="706"/>
        <w:gridCol w:w="709"/>
        <w:gridCol w:w="570"/>
        <w:gridCol w:w="777"/>
        <w:gridCol w:w="700"/>
      </w:tblGrid>
      <w:tr w:rsidR="00E73B4A" w14:paraId="03BDA424" w14:textId="77777777">
        <w:tc>
          <w:tcPr>
            <w:tcW w:w="974" w:type="dxa"/>
            <w:tcBorders>
              <w:top w:val="single" w:sz="4" w:space="0" w:color="000000"/>
              <w:left w:val="single" w:sz="4" w:space="0" w:color="000000"/>
              <w:bottom w:val="single" w:sz="4" w:space="0" w:color="000000"/>
            </w:tcBorders>
            <w:vAlign w:val="center"/>
          </w:tcPr>
          <w:p w14:paraId="32355E4E" w14:textId="77777777" w:rsidR="00E73B4A" w:rsidRDefault="00E73B4A">
            <w:pPr>
              <w:pStyle w:val="TableEmphasis"/>
              <w:rPr>
                <w:sz w:val="16"/>
                <w:szCs w:val="16"/>
              </w:rPr>
            </w:pPr>
          </w:p>
        </w:tc>
        <w:tc>
          <w:tcPr>
            <w:tcW w:w="2039" w:type="dxa"/>
            <w:gridSpan w:val="3"/>
            <w:tcBorders>
              <w:top w:val="single" w:sz="4" w:space="0" w:color="000000"/>
              <w:left w:val="single" w:sz="4" w:space="0" w:color="000000"/>
              <w:bottom w:val="single" w:sz="4" w:space="0" w:color="000000"/>
              <w:right w:val="single" w:sz="4" w:space="0" w:color="000000"/>
            </w:tcBorders>
          </w:tcPr>
          <w:p w14:paraId="446FB259" w14:textId="77777777" w:rsidR="00E73B4A" w:rsidRDefault="00000000">
            <w:pPr>
              <w:pStyle w:val="TableEmphasis"/>
            </w:pPr>
            <w:r>
              <w:rPr>
                <w:sz w:val="16"/>
                <w:szCs w:val="16"/>
              </w:rPr>
              <w:t>Model 1: Extent of Awareness</w:t>
            </w:r>
          </w:p>
        </w:tc>
        <w:tc>
          <w:tcPr>
            <w:tcW w:w="2100" w:type="dxa"/>
            <w:gridSpan w:val="3"/>
            <w:tcBorders>
              <w:top w:val="single" w:sz="4" w:space="0" w:color="000000"/>
              <w:left w:val="single" w:sz="4" w:space="0" w:color="000000"/>
              <w:bottom w:val="single" w:sz="4" w:space="0" w:color="000000"/>
              <w:right w:val="single" w:sz="4" w:space="0" w:color="000000"/>
            </w:tcBorders>
          </w:tcPr>
          <w:p w14:paraId="0C19DC46" w14:textId="77777777" w:rsidR="00E73B4A" w:rsidRDefault="00000000">
            <w:pPr>
              <w:pStyle w:val="TableEmphasis"/>
            </w:pPr>
            <w:r>
              <w:rPr>
                <w:sz w:val="16"/>
                <w:szCs w:val="16"/>
              </w:rPr>
              <w:t>Model 2: Extent of Device Use</w:t>
            </w:r>
          </w:p>
        </w:tc>
        <w:tc>
          <w:tcPr>
            <w:tcW w:w="2002" w:type="dxa"/>
            <w:gridSpan w:val="3"/>
            <w:tcBorders>
              <w:top w:val="single" w:sz="4" w:space="0" w:color="000000"/>
              <w:left w:val="single" w:sz="4" w:space="0" w:color="000000"/>
              <w:bottom w:val="single" w:sz="4" w:space="0" w:color="000000"/>
              <w:right w:val="single" w:sz="4" w:space="0" w:color="000000"/>
            </w:tcBorders>
          </w:tcPr>
          <w:p w14:paraId="57241809" w14:textId="77777777" w:rsidR="00E73B4A" w:rsidRDefault="00000000">
            <w:pPr>
              <w:pStyle w:val="TableEmphasis"/>
            </w:pPr>
            <w:r>
              <w:rPr>
                <w:sz w:val="16"/>
                <w:szCs w:val="16"/>
              </w:rPr>
              <w:t>Model 3: Extent of Application Area</w:t>
            </w:r>
          </w:p>
        </w:tc>
        <w:tc>
          <w:tcPr>
            <w:tcW w:w="2047" w:type="dxa"/>
            <w:gridSpan w:val="3"/>
            <w:tcBorders>
              <w:top w:val="single" w:sz="4" w:space="0" w:color="000000"/>
              <w:left w:val="single" w:sz="4" w:space="0" w:color="000000"/>
              <w:bottom w:val="single" w:sz="4" w:space="0" w:color="000000"/>
              <w:right w:val="single" w:sz="4" w:space="0" w:color="000000"/>
            </w:tcBorders>
          </w:tcPr>
          <w:p w14:paraId="1EBAEA5D" w14:textId="77777777" w:rsidR="00E73B4A" w:rsidRDefault="00000000">
            <w:pPr>
              <w:pStyle w:val="TableEmphasis"/>
            </w:pPr>
            <w:r>
              <w:rPr>
                <w:sz w:val="16"/>
                <w:szCs w:val="16"/>
              </w:rPr>
              <w:t xml:space="preserve">Model 4: </w:t>
            </w:r>
            <w:proofErr w:type="gramStart"/>
            <w:r>
              <w:rPr>
                <w:sz w:val="16"/>
                <w:szCs w:val="16"/>
              </w:rPr>
              <w:t>Amount</w:t>
            </w:r>
            <w:proofErr w:type="gramEnd"/>
            <w:r>
              <w:rPr>
                <w:sz w:val="16"/>
                <w:szCs w:val="16"/>
              </w:rPr>
              <w:t xml:space="preserve"> of Inhibiting Factors</w:t>
            </w:r>
          </w:p>
        </w:tc>
      </w:tr>
      <w:tr w:rsidR="00E73B4A" w14:paraId="7F11FEB0" w14:textId="77777777">
        <w:tc>
          <w:tcPr>
            <w:tcW w:w="974" w:type="dxa"/>
            <w:tcBorders>
              <w:top w:val="single" w:sz="4" w:space="0" w:color="000000"/>
              <w:left w:val="single" w:sz="4" w:space="0" w:color="000000"/>
              <w:bottom w:val="single" w:sz="4" w:space="0" w:color="000000"/>
            </w:tcBorders>
            <w:vAlign w:val="center"/>
          </w:tcPr>
          <w:p w14:paraId="1D4EAEF4" w14:textId="77777777" w:rsidR="00E73B4A" w:rsidRDefault="00000000">
            <w:pPr>
              <w:pStyle w:val="TableEmphasis"/>
            </w:pPr>
            <w:r>
              <w:rPr>
                <w:sz w:val="16"/>
                <w:szCs w:val="16"/>
              </w:rPr>
              <w:t>Predictor</w:t>
            </w:r>
          </w:p>
        </w:tc>
        <w:tc>
          <w:tcPr>
            <w:tcW w:w="678" w:type="dxa"/>
            <w:tcBorders>
              <w:top w:val="single" w:sz="4" w:space="0" w:color="000000"/>
              <w:left w:val="single" w:sz="4" w:space="0" w:color="000000"/>
              <w:bottom w:val="single" w:sz="4" w:space="0" w:color="000000"/>
            </w:tcBorders>
          </w:tcPr>
          <w:p w14:paraId="6E9A911E" w14:textId="77777777" w:rsidR="00E73B4A" w:rsidRDefault="00000000">
            <w:pPr>
              <w:pStyle w:val="TableEmphasis"/>
            </w:pPr>
            <w:r>
              <w:rPr>
                <w:sz w:val="16"/>
                <w:szCs w:val="16"/>
              </w:rPr>
              <w:t>Cat. 1 vs. Ref. OR (p)</w:t>
            </w:r>
          </w:p>
        </w:tc>
        <w:tc>
          <w:tcPr>
            <w:tcW w:w="690" w:type="dxa"/>
            <w:tcBorders>
              <w:top w:val="single" w:sz="4" w:space="0" w:color="000000"/>
              <w:left w:val="single" w:sz="4" w:space="0" w:color="000000"/>
              <w:bottom w:val="single" w:sz="4" w:space="0" w:color="000000"/>
              <w:right w:val="single" w:sz="4" w:space="0" w:color="000000"/>
            </w:tcBorders>
          </w:tcPr>
          <w:p w14:paraId="3ABE1ADE" w14:textId="77777777" w:rsidR="00E73B4A" w:rsidRDefault="00000000">
            <w:pPr>
              <w:pStyle w:val="TableEmphasis"/>
            </w:pPr>
            <w:r>
              <w:rPr>
                <w:sz w:val="16"/>
                <w:szCs w:val="16"/>
              </w:rPr>
              <w:t>Cat. 2 vs. Ref.</w:t>
            </w:r>
          </w:p>
          <w:p w14:paraId="2A1990F0" w14:textId="77777777" w:rsidR="00E73B4A" w:rsidRDefault="00000000">
            <w:pPr>
              <w:pStyle w:val="TableEmphasis"/>
            </w:pPr>
            <w:r>
              <w:rPr>
                <w:sz w:val="16"/>
                <w:szCs w:val="16"/>
              </w:rPr>
              <w:t>OR (p)</w:t>
            </w:r>
          </w:p>
        </w:tc>
        <w:tc>
          <w:tcPr>
            <w:tcW w:w="671" w:type="dxa"/>
            <w:tcBorders>
              <w:top w:val="single" w:sz="4" w:space="0" w:color="000000"/>
              <w:left w:val="single" w:sz="4" w:space="0" w:color="000000"/>
              <w:bottom w:val="single" w:sz="4" w:space="0" w:color="000000"/>
              <w:right w:val="single" w:sz="4" w:space="0" w:color="000000"/>
            </w:tcBorders>
          </w:tcPr>
          <w:p w14:paraId="31DA1C4F" w14:textId="77777777" w:rsidR="00E73B4A" w:rsidRDefault="00000000">
            <w:pPr>
              <w:pStyle w:val="TableEmphasis"/>
            </w:pPr>
            <w:r>
              <w:rPr>
                <w:sz w:val="16"/>
                <w:szCs w:val="16"/>
              </w:rPr>
              <w:t>Cat. 3 vs. Ref.</w:t>
            </w:r>
          </w:p>
          <w:p w14:paraId="177CC35D" w14:textId="77777777" w:rsidR="00E73B4A" w:rsidRDefault="00000000">
            <w:pPr>
              <w:pStyle w:val="TableEmphasis"/>
            </w:pPr>
            <w:r>
              <w:rPr>
                <w:sz w:val="16"/>
                <w:szCs w:val="16"/>
              </w:rPr>
              <w:t>OR (p)</w:t>
            </w:r>
          </w:p>
        </w:tc>
        <w:tc>
          <w:tcPr>
            <w:tcW w:w="690" w:type="dxa"/>
            <w:tcBorders>
              <w:top w:val="single" w:sz="4" w:space="0" w:color="000000"/>
              <w:left w:val="single" w:sz="4" w:space="0" w:color="000000"/>
              <w:bottom w:val="single" w:sz="4" w:space="0" w:color="000000"/>
              <w:right w:val="single" w:sz="4" w:space="0" w:color="000000"/>
            </w:tcBorders>
          </w:tcPr>
          <w:p w14:paraId="285F9743" w14:textId="77777777" w:rsidR="00E73B4A" w:rsidRDefault="00000000">
            <w:pPr>
              <w:pStyle w:val="TableEmphasis"/>
            </w:pPr>
            <w:r>
              <w:rPr>
                <w:sz w:val="16"/>
                <w:szCs w:val="16"/>
              </w:rPr>
              <w:t>Cat. 1 vs. Ref. OR (p)</w:t>
            </w:r>
          </w:p>
        </w:tc>
        <w:tc>
          <w:tcPr>
            <w:tcW w:w="720" w:type="dxa"/>
            <w:tcBorders>
              <w:top w:val="single" w:sz="4" w:space="0" w:color="000000"/>
              <w:left w:val="single" w:sz="4" w:space="0" w:color="000000"/>
              <w:bottom w:val="single" w:sz="4" w:space="0" w:color="000000"/>
            </w:tcBorders>
          </w:tcPr>
          <w:p w14:paraId="763A9BF6" w14:textId="77777777" w:rsidR="00E73B4A" w:rsidRDefault="00000000">
            <w:pPr>
              <w:pStyle w:val="TableEmphasis"/>
            </w:pPr>
            <w:r>
              <w:rPr>
                <w:sz w:val="16"/>
                <w:szCs w:val="16"/>
              </w:rPr>
              <w:t>Cat. 2 vs. Ref.</w:t>
            </w:r>
          </w:p>
          <w:p w14:paraId="417E162B" w14:textId="77777777" w:rsidR="00E73B4A" w:rsidRDefault="00000000">
            <w:pPr>
              <w:pStyle w:val="TableEmphasis"/>
            </w:pPr>
            <w:r>
              <w:rPr>
                <w:sz w:val="16"/>
                <w:szCs w:val="16"/>
              </w:rPr>
              <w:t>OR (p)</w:t>
            </w:r>
          </w:p>
        </w:tc>
        <w:tc>
          <w:tcPr>
            <w:tcW w:w="690" w:type="dxa"/>
            <w:tcBorders>
              <w:top w:val="single" w:sz="4" w:space="0" w:color="000000"/>
              <w:left w:val="single" w:sz="4" w:space="0" w:color="000000"/>
              <w:bottom w:val="single" w:sz="4" w:space="0" w:color="000000"/>
            </w:tcBorders>
          </w:tcPr>
          <w:p w14:paraId="1D253562" w14:textId="77777777" w:rsidR="00E73B4A" w:rsidRDefault="00000000">
            <w:pPr>
              <w:pStyle w:val="TableEmphasis"/>
            </w:pPr>
            <w:r>
              <w:rPr>
                <w:sz w:val="16"/>
                <w:szCs w:val="16"/>
              </w:rPr>
              <w:t>Cat. 3 vs. Ref.</w:t>
            </w:r>
          </w:p>
          <w:p w14:paraId="377DA833" w14:textId="77777777" w:rsidR="00E73B4A" w:rsidRDefault="00000000">
            <w:pPr>
              <w:pStyle w:val="TableEmphasis"/>
            </w:pPr>
            <w:r>
              <w:rPr>
                <w:sz w:val="16"/>
                <w:szCs w:val="16"/>
              </w:rPr>
              <w:t>OR (p)</w:t>
            </w:r>
          </w:p>
        </w:tc>
        <w:tc>
          <w:tcPr>
            <w:tcW w:w="587" w:type="dxa"/>
            <w:tcBorders>
              <w:top w:val="single" w:sz="4" w:space="0" w:color="000000"/>
              <w:left w:val="single" w:sz="4" w:space="0" w:color="000000"/>
              <w:bottom w:val="single" w:sz="4" w:space="0" w:color="000000"/>
            </w:tcBorders>
          </w:tcPr>
          <w:p w14:paraId="6AAA7DD2" w14:textId="77777777" w:rsidR="00E73B4A" w:rsidRDefault="00000000">
            <w:pPr>
              <w:pStyle w:val="TableEmphasis"/>
            </w:pPr>
            <w:r>
              <w:rPr>
                <w:sz w:val="16"/>
                <w:szCs w:val="16"/>
              </w:rPr>
              <w:t>Cat. 1 vs. Ref. OR (p)</w:t>
            </w:r>
          </w:p>
        </w:tc>
        <w:tc>
          <w:tcPr>
            <w:tcW w:w="706" w:type="dxa"/>
            <w:tcBorders>
              <w:top w:val="single" w:sz="4" w:space="0" w:color="000000"/>
              <w:left w:val="single" w:sz="4" w:space="0" w:color="000000"/>
              <w:bottom w:val="single" w:sz="4" w:space="0" w:color="000000"/>
            </w:tcBorders>
          </w:tcPr>
          <w:p w14:paraId="29A9E491" w14:textId="77777777" w:rsidR="00E73B4A" w:rsidRDefault="00000000">
            <w:pPr>
              <w:pStyle w:val="TableEmphasis"/>
            </w:pPr>
            <w:r>
              <w:rPr>
                <w:sz w:val="16"/>
                <w:szCs w:val="16"/>
              </w:rPr>
              <w:t>Cat. 2 vs. Ref.</w:t>
            </w:r>
          </w:p>
          <w:p w14:paraId="75B24B24" w14:textId="77777777" w:rsidR="00E73B4A" w:rsidRDefault="00000000">
            <w:pPr>
              <w:pStyle w:val="TableEmphasis"/>
            </w:pPr>
            <w:r>
              <w:rPr>
                <w:sz w:val="16"/>
                <w:szCs w:val="16"/>
              </w:rPr>
              <w:t>OR (p)</w:t>
            </w:r>
          </w:p>
        </w:tc>
        <w:tc>
          <w:tcPr>
            <w:tcW w:w="709" w:type="dxa"/>
            <w:tcBorders>
              <w:top w:val="single" w:sz="4" w:space="0" w:color="000000"/>
              <w:left w:val="single" w:sz="4" w:space="0" w:color="000000"/>
              <w:bottom w:val="single" w:sz="4" w:space="0" w:color="000000"/>
            </w:tcBorders>
          </w:tcPr>
          <w:p w14:paraId="53F99452" w14:textId="77777777" w:rsidR="00E73B4A" w:rsidRDefault="00000000">
            <w:pPr>
              <w:pStyle w:val="TableEmphasis"/>
            </w:pPr>
            <w:r>
              <w:rPr>
                <w:sz w:val="16"/>
                <w:szCs w:val="16"/>
              </w:rPr>
              <w:t>Cat. 3 vs. Ref.</w:t>
            </w:r>
          </w:p>
          <w:p w14:paraId="28BBEB60" w14:textId="77777777" w:rsidR="00E73B4A" w:rsidRDefault="00000000">
            <w:pPr>
              <w:pStyle w:val="TableEmphasis"/>
            </w:pPr>
            <w:r>
              <w:rPr>
                <w:sz w:val="16"/>
                <w:szCs w:val="16"/>
              </w:rPr>
              <w:t>OR (p)</w:t>
            </w:r>
          </w:p>
        </w:tc>
        <w:tc>
          <w:tcPr>
            <w:tcW w:w="570" w:type="dxa"/>
            <w:tcBorders>
              <w:top w:val="single" w:sz="4" w:space="0" w:color="000000"/>
              <w:left w:val="single" w:sz="4" w:space="0" w:color="000000"/>
              <w:bottom w:val="single" w:sz="4" w:space="0" w:color="000000"/>
            </w:tcBorders>
          </w:tcPr>
          <w:p w14:paraId="4C4196B2" w14:textId="77777777" w:rsidR="00E73B4A" w:rsidRDefault="00000000">
            <w:pPr>
              <w:pStyle w:val="TableEmphasis"/>
            </w:pPr>
            <w:r>
              <w:rPr>
                <w:sz w:val="16"/>
                <w:szCs w:val="16"/>
              </w:rPr>
              <w:t>Cat. 1 vs. Ref. OR (p)</w:t>
            </w:r>
          </w:p>
        </w:tc>
        <w:tc>
          <w:tcPr>
            <w:tcW w:w="777" w:type="dxa"/>
            <w:tcBorders>
              <w:top w:val="single" w:sz="4" w:space="0" w:color="000000"/>
              <w:left w:val="single" w:sz="4" w:space="0" w:color="000000"/>
              <w:bottom w:val="single" w:sz="4" w:space="0" w:color="000000"/>
              <w:right w:val="single" w:sz="4" w:space="0" w:color="000000"/>
            </w:tcBorders>
          </w:tcPr>
          <w:p w14:paraId="0B3EF5D2" w14:textId="77777777" w:rsidR="00E73B4A" w:rsidRDefault="00000000">
            <w:pPr>
              <w:pStyle w:val="TableEmphasis"/>
            </w:pPr>
            <w:r>
              <w:rPr>
                <w:sz w:val="16"/>
                <w:szCs w:val="16"/>
              </w:rPr>
              <w:t>Cat. 2 vs. Ref.</w:t>
            </w:r>
          </w:p>
          <w:p w14:paraId="096933E3" w14:textId="77777777" w:rsidR="00E73B4A" w:rsidRDefault="00000000">
            <w:pPr>
              <w:pStyle w:val="TableEmphasis"/>
            </w:pPr>
            <w:r>
              <w:rPr>
                <w:sz w:val="16"/>
                <w:szCs w:val="16"/>
              </w:rPr>
              <w:t>OR (p)</w:t>
            </w:r>
          </w:p>
        </w:tc>
        <w:tc>
          <w:tcPr>
            <w:tcW w:w="700" w:type="dxa"/>
            <w:tcBorders>
              <w:top w:val="single" w:sz="4" w:space="0" w:color="000000"/>
              <w:left w:val="single" w:sz="4" w:space="0" w:color="000000"/>
              <w:bottom w:val="single" w:sz="4" w:space="0" w:color="000000"/>
              <w:right w:val="single" w:sz="4" w:space="0" w:color="000000"/>
            </w:tcBorders>
          </w:tcPr>
          <w:p w14:paraId="23F84097" w14:textId="77777777" w:rsidR="00E73B4A" w:rsidRDefault="00000000">
            <w:pPr>
              <w:pStyle w:val="TableEmphasis"/>
            </w:pPr>
            <w:r>
              <w:rPr>
                <w:sz w:val="16"/>
                <w:szCs w:val="16"/>
              </w:rPr>
              <w:t>Cat. 3 vs. Ref.</w:t>
            </w:r>
          </w:p>
          <w:p w14:paraId="05D2B262" w14:textId="77777777" w:rsidR="00E73B4A" w:rsidRDefault="00000000">
            <w:pPr>
              <w:pStyle w:val="TableEmphasis"/>
            </w:pPr>
            <w:r>
              <w:rPr>
                <w:sz w:val="16"/>
                <w:szCs w:val="16"/>
              </w:rPr>
              <w:t>OR (p)</w:t>
            </w:r>
          </w:p>
        </w:tc>
      </w:tr>
      <w:tr w:rsidR="00E73B4A" w14:paraId="62D8EC50" w14:textId="77777777">
        <w:trPr>
          <w:trHeight w:val="329"/>
        </w:trPr>
        <w:tc>
          <w:tcPr>
            <w:tcW w:w="974" w:type="dxa"/>
            <w:tcBorders>
              <w:left w:val="single" w:sz="4" w:space="0" w:color="000000"/>
              <w:bottom w:val="single" w:sz="4" w:space="0" w:color="000000"/>
            </w:tcBorders>
          </w:tcPr>
          <w:p w14:paraId="7064A2C4" w14:textId="77777777" w:rsidR="00E73B4A" w:rsidRDefault="00000000">
            <w:pPr>
              <w:pStyle w:val="TableEmphasis"/>
            </w:pPr>
            <w:r>
              <w:rPr>
                <w:rFonts w:eastAsia="Arial"/>
                <w:sz w:val="14"/>
                <w:szCs w:val="14"/>
                <w:lang w:eastAsia="zh-CN" w:bidi="hi-IN"/>
              </w:rPr>
              <w:t xml:space="preserve">Gender </w:t>
            </w:r>
            <w:r>
              <w:rPr>
                <w:rFonts w:eastAsia="Arial"/>
                <w:color w:val="000000"/>
                <w:sz w:val="14"/>
                <w:szCs w:val="14"/>
                <w:shd w:val="clear" w:color="auto" w:fill="FFFFFF"/>
                <w:lang w:eastAsia="zh-CN" w:bidi="hi-IN"/>
              </w:rPr>
              <w:t>(reference: Men)</w:t>
            </w:r>
          </w:p>
        </w:tc>
        <w:tc>
          <w:tcPr>
            <w:tcW w:w="678" w:type="dxa"/>
            <w:tcBorders>
              <w:left w:val="single" w:sz="4" w:space="0" w:color="000000"/>
              <w:bottom w:val="single" w:sz="4" w:space="0" w:color="000000"/>
            </w:tcBorders>
          </w:tcPr>
          <w:p w14:paraId="5FC52A91" w14:textId="77777777" w:rsidR="00E73B4A" w:rsidRDefault="00E73B4A">
            <w:pPr>
              <w:pStyle w:val="TableText"/>
              <w:rPr>
                <w:sz w:val="16"/>
                <w:szCs w:val="16"/>
              </w:rPr>
            </w:pPr>
          </w:p>
        </w:tc>
        <w:tc>
          <w:tcPr>
            <w:tcW w:w="690" w:type="dxa"/>
            <w:tcBorders>
              <w:left w:val="single" w:sz="4" w:space="0" w:color="000000"/>
              <w:bottom w:val="single" w:sz="4" w:space="0" w:color="000000"/>
              <w:right w:val="single" w:sz="4" w:space="0" w:color="000000"/>
            </w:tcBorders>
          </w:tcPr>
          <w:p w14:paraId="29FEF623" w14:textId="77777777" w:rsidR="00E73B4A" w:rsidRDefault="00E73B4A">
            <w:pPr>
              <w:pStyle w:val="TableText"/>
              <w:rPr>
                <w:sz w:val="16"/>
                <w:szCs w:val="16"/>
              </w:rPr>
            </w:pPr>
          </w:p>
        </w:tc>
        <w:tc>
          <w:tcPr>
            <w:tcW w:w="671" w:type="dxa"/>
            <w:tcBorders>
              <w:left w:val="single" w:sz="4" w:space="0" w:color="000000"/>
              <w:bottom w:val="single" w:sz="4" w:space="0" w:color="000000"/>
              <w:right w:val="single" w:sz="4" w:space="0" w:color="000000"/>
            </w:tcBorders>
          </w:tcPr>
          <w:p w14:paraId="3535610D" w14:textId="77777777" w:rsidR="00E73B4A" w:rsidRDefault="00E73B4A">
            <w:pPr>
              <w:pStyle w:val="TableText"/>
              <w:rPr>
                <w:sz w:val="16"/>
                <w:szCs w:val="16"/>
              </w:rPr>
            </w:pPr>
          </w:p>
        </w:tc>
        <w:tc>
          <w:tcPr>
            <w:tcW w:w="690" w:type="dxa"/>
            <w:tcBorders>
              <w:left w:val="single" w:sz="4" w:space="0" w:color="000000"/>
              <w:bottom w:val="single" w:sz="4" w:space="0" w:color="000000"/>
              <w:right w:val="single" w:sz="4" w:space="0" w:color="000000"/>
            </w:tcBorders>
          </w:tcPr>
          <w:p w14:paraId="5BD8FC5F" w14:textId="77777777" w:rsidR="00E73B4A" w:rsidRDefault="00E73B4A">
            <w:pPr>
              <w:pStyle w:val="TableText"/>
              <w:rPr>
                <w:sz w:val="16"/>
                <w:szCs w:val="16"/>
              </w:rPr>
            </w:pPr>
          </w:p>
        </w:tc>
        <w:tc>
          <w:tcPr>
            <w:tcW w:w="720" w:type="dxa"/>
            <w:tcBorders>
              <w:left w:val="single" w:sz="4" w:space="0" w:color="000000"/>
              <w:bottom w:val="single" w:sz="4" w:space="0" w:color="000000"/>
            </w:tcBorders>
          </w:tcPr>
          <w:p w14:paraId="2E56C1BF" w14:textId="77777777" w:rsidR="00E73B4A" w:rsidRDefault="00E73B4A">
            <w:pPr>
              <w:pStyle w:val="TableText"/>
              <w:rPr>
                <w:sz w:val="16"/>
                <w:szCs w:val="16"/>
              </w:rPr>
            </w:pPr>
          </w:p>
        </w:tc>
        <w:tc>
          <w:tcPr>
            <w:tcW w:w="690" w:type="dxa"/>
            <w:tcBorders>
              <w:left w:val="single" w:sz="4" w:space="0" w:color="000000"/>
              <w:bottom w:val="single" w:sz="4" w:space="0" w:color="000000"/>
            </w:tcBorders>
          </w:tcPr>
          <w:p w14:paraId="5153922E" w14:textId="77777777" w:rsidR="00E73B4A" w:rsidRDefault="00E73B4A">
            <w:pPr>
              <w:pStyle w:val="TableText"/>
              <w:rPr>
                <w:sz w:val="16"/>
                <w:szCs w:val="16"/>
              </w:rPr>
            </w:pPr>
          </w:p>
        </w:tc>
        <w:tc>
          <w:tcPr>
            <w:tcW w:w="587" w:type="dxa"/>
            <w:tcBorders>
              <w:left w:val="single" w:sz="4" w:space="0" w:color="000000"/>
              <w:bottom w:val="single" w:sz="4" w:space="0" w:color="000000"/>
            </w:tcBorders>
          </w:tcPr>
          <w:p w14:paraId="0E1BC7BB" w14:textId="77777777" w:rsidR="00E73B4A" w:rsidRDefault="00E73B4A">
            <w:pPr>
              <w:pStyle w:val="TableText"/>
              <w:rPr>
                <w:sz w:val="16"/>
                <w:szCs w:val="16"/>
              </w:rPr>
            </w:pPr>
          </w:p>
        </w:tc>
        <w:tc>
          <w:tcPr>
            <w:tcW w:w="706" w:type="dxa"/>
            <w:tcBorders>
              <w:left w:val="single" w:sz="4" w:space="0" w:color="000000"/>
              <w:bottom w:val="single" w:sz="4" w:space="0" w:color="000000"/>
            </w:tcBorders>
          </w:tcPr>
          <w:p w14:paraId="5AC9FC51" w14:textId="77777777" w:rsidR="00E73B4A" w:rsidRDefault="00E73B4A">
            <w:pPr>
              <w:pStyle w:val="TableText"/>
              <w:rPr>
                <w:sz w:val="16"/>
                <w:szCs w:val="16"/>
              </w:rPr>
            </w:pPr>
          </w:p>
        </w:tc>
        <w:tc>
          <w:tcPr>
            <w:tcW w:w="709" w:type="dxa"/>
            <w:tcBorders>
              <w:left w:val="single" w:sz="4" w:space="0" w:color="000000"/>
              <w:bottom w:val="single" w:sz="4" w:space="0" w:color="000000"/>
            </w:tcBorders>
          </w:tcPr>
          <w:p w14:paraId="11E18FC9" w14:textId="77777777" w:rsidR="00E73B4A" w:rsidRDefault="00E73B4A">
            <w:pPr>
              <w:pStyle w:val="TableText"/>
              <w:rPr>
                <w:sz w:val="16"/>
                <w:szCs w:val="16"/>
              </w:rPr>
            </w:pPr>
          </w:p>
        </w:tc>
        <w:tc>
          <w:tcPr>
            <w:tcW w:w="570" w:type="dxa"/>
            <w:tcBorders>
              <w:left w:val="single" w:sz="4" w:space="0" w:color="000000"/>
              <w:bottom w:val="single" w:sz="4" w:space="0" w:color="000000"/>
            </w:tcBorders>
          </w:tcPr>
          <w:p w14:paraId="1555DC20" w14:textId="77777777" w:rsidR="00E73B4A" w:rsidRDefault="00E73B4A">
            <w:pPr>
              <w:pStyle w:val="TableText"/>
              <w:rPr>
                <w:sz w:val="16"/>
                <w:szCs w:val="16"/>
              </w:rPr>
            </w:pPr>
          </w:p>
        </w:tc>
        <w:tc>
          <w:tcPr>
            <w:tcW w:w="777" w:type="dxa"/>
            <w:tcBorders>
              <w:left w:val="single" w:sz="4" w:space="0" w:color="000000"/>
              <w:bottom w:val="single" w:sz="4" w:space="0" w:color="000000"/>
              <w:right w:val="single" w:sz="4" w:space="0" w:color="000000"/>
            </w:tcBorders>
          </w:tcPr>
          <w:p w14:paraId="19EA83C1" w14:textId="77777777" w:rsidR="00E73B4A" w:rsidRDefault="00E73B4A">
            <w:pPr>
              <w:pStyle w:val="TableText"/>
              <w:rPr>
                <w:sz w:val="16"/>
                <w:szCs w:val="16"/>
              </w:rPr>
            </w:pPr>
          </w:p>
        </w:tc>
        <w:tc>
          <w:tcPr>
            <w:tcW w:w="700" w:type="dxa"/>
            <w:tcBorders>
              <w:top w:val="single" w:sz="4" w:space="0" w:color="000000"/>
              <w:left w:val="single" w:sz="4" w:space="0" w:color="000000"/>
              <w:bottom w:val="single" w:sz="4" w:space="0" w:color="000000"/>
              <w:right w:val="single" w:sz="4" w:space="0" w:color="000000"/>
            </w:tcBorders>
          </w:tcPr>
          <w:p w14:paraId="54CD4B91" w14:textId="77777777" w:rsidR="00E73B4A" w:rsidRDefault="00E73B4A">
            <w:pPr>
              <w:pStyle w:val="TableText"/>
              <w:rPr>
                <w:sz w:val="16"/>
                <w:szCs w:val="16"/>
              </w:rPr>
            </w:pPr>
          </w:p>
        </w:tc>
      </w:tr>
      <w:tr w:rsidR="00E73B4A" w14:paraId="683DE21F" w14:textId="77777777">
        <w:tc>
          <w:tcPr>
            <w:tcW w:w="974" w:type="dxa"/>
            <w:tcBorders>
              <w:left w:val="single" w:sz="4" w:space="0" w:color="000000"/>
              <w:bottom w:val="single" w:sz="4" w:space="0" w:color="000000"/>
            </w:tcBorders>
          </w:tcPr>
          <w:p w14:paraId="36EEB5D2" w14:textId="77777777" w:rsidR="00E73B4A" w:rsidRDefault="00000000">
            <w:pPr>
              <w:pStyle w:val="TableEmphasis"/>
            </w:pPr>
            <w:r>
              <w:t>Women</w:t>
            </w:r>
          </w:p>
        </w:tc>
        <w:tc>
          <w:tcPr>
            <w:tcW w:w="678" w:type="dxa"/>
            <w:tcBorders>
              <w:left w:val="single" w:sz="4" w:space="0" w:color="000000"/>
              <w:bottom w:val="single" w:sz="4" w:space="0" w:color="000000"/>
            </w:tcBorders>
          </w:tcPr>
          <w:p w14:paraId="7EC1FD52" w14:textId="77777777" w:rsidR="00E73B4A" w:rsidRDefault="00000000">
            <w:pPr>
              <w:pStyle w:val="TableText"/>
            </w:pPr>
            <w:r>
              <w:rPr>
                <w:sz w:val="16"/>
                <w:szCs w:val="16"/>
              </w:rPr>
              <w:t>1.34 (.17)</w:t>
            </w:r>
            <w:r>
              <w:rPr>
                <w:sz w:val="16"/>
                <w:szCs w:val="16"/>
              </w:rPr>
              <w:br/>
            </w:r>
          </w:p>
        </w:tc>
        <w:tc>
          <w:tcPr>
            <w:tcW w:w="690" w:type="dxa"/>
            <w:tcBorders>
              <w:left w:val="single" w:sz="4" w:space="0" w:color="000000"/>
              <w:bottom w:val="single" w:sz="4" w:space="0" w:color="000000"/>
              <w:right w:val="single" w:sz="4" w:space="0" w:color="000000"/>
            </w:tcBorders>
          </w:tcPr>
          <w:p w14:paraId="7320304B" w14:textId="77777777" w:rsidR="00E73B4A" w:rsidRDefault="00000000">
            <w:pPr>
              <w:pStyle w:val="TableText"/>
            </w:pPr>
            <w:r>
              <w:rPr>
                <w:sz w:val="16"/>
                <w:szCs w:val="16"/>
              </w:rPr>
              <w:t>1.44 (.13)</w:t>
            </w:r>
            <w:r>
              <w:rPr>
                <w:sz w:val="16"/>
                <w:szCs w:val="16"/>
              </w:rPr>
              <w:br/>
            </w:r>
          </w:p>
        </w:tc>
        <w:tc>
          <w:tcPr>
            <w:tcW w:w="671" w:type="dxa"/>
            <w:tcBorders>
              <w:left w:val="single" w:sz="4" w:space="0" w:color="000000"/>
              <w:bottom w:val="single" w:sz="4" w:space="0" w:color="000000"/>
              <w:right w:val="single" w:sz="4" w:space="0" w:color="000000"/>
            </w:tcBorders>
          </w:tcPr>
          <w:p w14:paraId="34E990AD" w14:textId="77777777" w:rsidR="00E73B4A" w:rsidRDefault="00000000">
            <w:pPr>
              <w:pStyle w:val="TableText"/>
            </w:pPr>
            <w:r>
              <w:rPr>
                <w:sz w:val="16"/>
                <w:szCs w:val="16"/>
              </w:rPr>
              <w:t>0.68 (.11)</w:t>
            </w:r>
            <w:r>
              <w:rPr>
                <w:sz w:val="16"/>
                <w:szCs w:val="16"/>
              </w:rPr>
              <w:br/>
            </w:r>
          </w:p>
        </w:tc>
        <w:tc>
          <w:tcPr>
            <w:tcW w:w="690" w:type="dxa"/>
            <w:tcBorders>
              <w:left w:val="single" w:sz="4" w:space="0" w:color="000000"/>
              <w:bottom w:val="single" w:sz="4" w:space="0" w:color="000000"/>
              <w:right w:val="single" w:sz="4" w:space="0" w:color="000000"/>
            </w:tcBorders>
          </w:tcPr>
          <w:p w14:paraId="7F60182F" w14:textId="77777777" w:rsidR="00E73B4A" w:rsidRDefault="00000000">
            <w:pPr>
              <w:pStyle w:val="TableText"/>
            </w:pPr>
            <w:r>
              <w:rPr>
                <w:sz w:val="16"/>
                <w:szCs w:val="16"/>
              </w:rPr>
              <w:t>1.02 (.93)</w:t>
            </w:r>
            <w:r>
              <w:rPr>
                <w:sz w:val="16"/>
                <w:szCs w:val="16"/>
              </w:rPr>
              <w:br/>
            </w:r>
          </w:p>
        </w:tc>
        <w:tc>
          <w:tcPr>
            <w:tcW w:w="720" w:type="dxa"/>
            <w:tcBorders>
              <w:left w:val="single" w:sz="4" w:space="0" w:color="000000"/>
              <w:bottom w:val="single" w:sz="4" w:space="0" w:color="000000"/>
            </w:tcBorders>
          </w:tcPr>
          <w:p w14:paraId="248CAD06" w14:textId="77777777" w:rsidR="00E73B4A" w:rsidRDefault="00000000">
            <w:pPr>
              <w:pStyle w:val="TableText"/>
            </w:pPr>
            <w:r>
              <w:rPr>
                <w:sz w:val="16"/>
                <w:szCs w:val="16"/>
              </w:rPr>
              <w:t>.88 (.60)</w:t>
            </w:r>
          </w:p>
        </w:tc>
        <w:tc>
          <w:tcPr>
            <w:tcW w:w="690" w:type="dxa"/>
            <w:tcBorders>
              <w:left w:val="single" w:sz="4" w:space="0" w:color="000000"/>
              <w:bottom w:val="single" w:sz="4" w:space="0" w:color="000000"/>
            </w:tcBorders>
          </w:tcPr>
          <w:p w14:paraId="43D692E0" w14:textId="77777777" w:rsidR="00E73B4A" w:rsidRDefault="00000000">
            <w:pPr>
              <w:pStyle w:val="TableText"/>
            </w:pPr>
            <w:r>
              <w:rPr>
                <w:sz w:val="16"/>
                <w:szCs w:val="16"/>
              </w:rPr>
              <w:t>.59 (.</w:t>
            </w:r>
            <w:proofErr w:type="gramStart"/>
            <w:r>
              <w:rPr>
                <w:sz w:val="16"/>
                <w:szCs w:val="16"/>
              </w:rPr>
              <w:t>03)*</w:t>
            </w:r>
            <w:proofErr w:type="gramEnd"/>
          </w:p>
        </w:tc>
        <w:tc>
          <w:tcPr>
            <w:tcW w:w="587" w:type="dxa"/>
            <w:tcBorders>
              <w:left w:val="single" w:sz="4" w:space="0" w:color="000000"/>
              <w:bottom w:val="single" w:sz="4" w:space="0" w:color="000000"/>
            </w:tcBorders>
          </w:tcPr>
          <w:p w14:paraId="19CD7118" w14:textId="77777777" w:rsidR="00E73B4A" w:rsidRDefault="00000000">
            <w:pPr>
              <w:pStyle w:val="TableText"/>
            </w:pPr>
            <w:r>
              <w:rPr>
                <w:sz w:val="16"/>
                <w:szCs w:val="16"/>
              </w:rPr>
              <w:t>2.11 (.07)</w:t>
            </w:r>
            <w:r>
              <w:rPr>
                <w:sz w:val="16"/>
                <w:szCs w:val="16"/>
              </w:rPr>
              <w:br/>
            </w:r>
          </w:p>
        </w:tc>
        <w:tc>
          <w:tcPr>
            <w:tcW w:w="706" w:type="dxa"/>
            <w:tcBorders>
              <w:left w:val="single" w:sz="4" w:space="0" w:color="000000"/>
              <w:bottom w:val="single" w:sz="4" w:space="0" w:color="000000"/>
            </w:tcBorders>
          </w:tcPr>
          <w:p w14:paraId="797877C3" w14:textId="77777777" w:rsidR="00E73B4A" w:rsidRDefault="00000000">
            <w:pPr>
              <w:pStyle w:val="TableText"/>
            </w:pPr>
            <w:r>
              <w:rPr>
                <w:sz w:val="16"/>
                <w:szCs w:val="16"/>
              </w:rPr>
              <w:t>2.55 (.</w:t>
            </w:r>
            <w:proofErr w:type="gramStart"/>
            <w:r>
              <w:rPr>
                <w:sz w:val="16"/>
                <w:szCs w:val="16"/>
              </w:rPr>
              <w:t>02)*</w:t>
            </w:r>
            <w:proofErr w:type="gramEnd"/>
          </w:p>
        </w:tc>
        <w:tc>
          <w:tcPr>
            <w:tcW w:w="709" w:type="dxa"/>
            <w:tcBorders>
              <w:left w:val="single" w:sz="4" w:space="0" w:color="000000"/>
              <w:bottom w:val="single" w:sz="4" w:space="0" w:color="000000"/>
            </w:tcBorders>
          </w:tcPr>
          <w:p w14:paraId="1D977013" w14:textId="77777777" w:rsidR="00E73B4A" w:rsidRDefault="00000000">
            <w:pPr>
              <w:pStyle w:val="TableText"/>
            </w:pPr>
            <w:r>
              <w:rPr>
                <w:sz w:val="16"/>
                <w:szCs w:val="16"/>
              </w:rPr>
              <w:t>1.92 (.09)</w:t>
            </w:r>
          </w:p>
        </w:tc>
        <w:tc>
          <w:tcPr>
            <w:tcW w:w="570" w:type="dxa"/>
            <w:tcBorders>
              <w:left w:val="single" w:sz="4" w:space="0" w:color="000000"/>
              <w:bottom w:val="single" w:sz="4" w:space="0" w:color="000000"/>
            </w:tcBorders>
          </w:tcPr>
          <w:p w14:paraId="55B34285" w14:textId="77777777" w:rsidR="00E73B4A" w:rsidRDefault="00000000">
            <w:pPr>
              <w:pStyle w:val="TableText"/>
            </w:pPr>
            <w:r>
              <w:rPr>
                <w:sz w:val="16"/>
                <w:szCs w:val="16"/>
              </w:rPr>
              <w:t>1.69 (.</w:t>
            </w:r>
            <w:proofErr w:type="gramStart"/>
            <w:r>
              <w:rPr>
                <w:sz w:val="16"/>
                <w:szCs w:val="16"/>
              </w:rPr>
              <w:t>02)*</w:t>
            </w:r>
            <w:proofErr w:type="gramEnd"/>
            <w:r>
              <w:rPr>
                <w:sz w:val="16"/>
                <w:szCs w:val="16"/>
              </w:rPr>
              <w:t xml:space="preserve"> </w:t>
            </w:r>
            <w:r>
              <w:rPr>
                <w:sz w:val="16"/>
                <w:szCs w:val="16"/>
              </w:rPr>
              <w:br/>
            </w:r>
          </w:p>
        </w:tc>
        <w:tc>
          <w:tcPr>
            <w:tcW w:w="777" w:type="dxa"/>
            <w:tcBorders>
              <w:left w:val="single" w:sz="4" w:space="0" w:color="000000"/>
              <w:bottom w:val="single" w:sz="4" w:space="0" w:color="000000"/>
              <w:right w:val="single" w:sz="4" w:space="0" w:color="000000"/>
            </w:tcBorders>
          </w:tcPr>
          <w:p w14:paraId="590BDC4E" w14:textId="77777777" w:rsidR="00E73B4A" w:rsidRDefault="00000000">
            <w:pPr>
              <w:pStyle w:val="TableText"/>
            </w:pPr>
            <w:r>
              <w:rPr>
                <w:sz w:val="16"/>
                <w:szCs w:val="16"/>
              </w:rPr>
              <w:t>2.35 (.</w:t>
            </w:r>
            <w:proofErr w:type="gramStart"/>
            <w:r>
              <w:rPr>
                <w:sz w:val="16"/>
                <w:szCs w:val="16"/>
              </w:rPr>
              <w:t>00)*</w:t>
            </w:r>
            <w:proofErr w:type="gramEnd"/>
            <w:r>
              <w:rPr>
                <w:sz w:val="16"/>
                <w:szCs w:val="16"/>
              </w:rPr>
              <w:t>**</w:t>
            </w:r>
          </w:p>
        </w:tc>
        <w:tc>
          <w:tcPr>
            <w:tcW w:w="700" w:type="dxa"/>
            <w:tcBorders>
              <w:top w:val="single" w:sz="4" w:space="0" w:color="000000"/>
              <w:left w:val="single" w:sz="4" w:space="0" w:color="000000"/>
              <w:bottom w:val="single" w:sz="4" w:space="0" w:color="000000"/>
              <w:right w:val="single" w:sz="4" w:space="0" w:color="000000"/>
            </w:tcBorders>
          </w:tcPr>
          <w:p w14:paraId="370F7D12" w14:textId="77777777" w:rsidR="00E73B4A" w:rsidRDefault="00000000">
            <w:pPr>
              <w:pStyle w:val="TableText"/>
            </w:pPr>
            <w:r>
              <w:rPr>
                <w:sz w:val="16"/>
                <w:szCs w:val="16"/>
              </w:rPr>
              <w:t>2.92 (.</w:t>
            </w:r>
            <w:proofErr w:type="gramStart"/>
            <w:r>
              <w:rPr>
                <w:sz w:val="16"/>
                <w:szCs w:val="16"/>
              </w:rPr>
              <w:t>00)*</w:t>
            </w:r>
            <w:proofErr w:type="gramEnd"/>
            <w:r>
              <w:rPr>
                <w:sz w:val="16"/>
                <w:szCs w:val="16"/>
              </w:rPr>
              <w:t>**</w:t>
            </w:r>
          </w:p>
        </w:tc>
      </w:tr>
      <w:tr w:rsidR="00E73B4A" w14:paraId="0A9480B1" w14:textId="77777777">
        <w:tc>
          <w:tcPr>
            <w:tcW w:w="974" w:type="dxa"/>
            <w:tcBorders>
              <w:left w:val="single" w:sz="4" w:space="0" w:color="000000"/>
              <w:bottom w:val="single" w:sz="4" w:space="0" w:color="000000"/>
            </w:tcBorders>
          </w:tcPr>
          <w:p w14:paraId="29189D26" w14:textId="77777777" w:rsidR="00E73B4A" w:rsidRDefault="00000000">
            <w:pPr>
              <w:pStyle w:val="TableEmphasis"/>
            </w:pPr>
            <w:r>
              <w:rPr>
                <w:rFonts w:eastAsia="Arial"/>
                <w:sz w:val="14"/>
                <w:szCs w:val="14"/>
                <w:lang w:eastAsia="zh-CN" w:bidi="hi-IN"/>
              </w:rPr>
              <w:t>Type of Education (reference: Correspondence)</w:t>
            </w:r>
          </w:p>
        </w:tc>
        <w:tc>
          <w:tcPr>
            <w:tcW w:w="678" w:type="dxa"/>
            <w:tcBorders>
              <w:left w:val="single" w:sz="4" w:space="0" w:color="000000"/>
              <w:bottom w:val="single" w:sz="4" w:space="0" w:color="000000"/>
            </w:tcBorders>
          </w:tcPr>
          <w:p w14:paraId="30518523" w14:textId="77777777" w:rsidR="00E73B4A" w:rsidRDefault="00E73B4A">
            <w:pPr>
              <w:pStyle w:val="TableText"/>
              <w:rPr>
                <w:sz w:val="16"/>
                <w:szCs w:val="16"/>
              </w:rPr>
            </w:pPr>
          </w:p>
        </w:tc>
        <w:tc>
          <w:tcPr>
            <w:tcW w:w="690" w:type="dxa"/>
            <w:tcBorders>
              <w:left w:val="single" w:sz="4" w:space="0" w:color="000000"/>
              <w:bottom w:val="single" w:sz="4" w:space="0" w:color="000000"/>
              <w:right w:val="single" w:sz="4" w:space="0" w:color="000000"/>
            </w:tcBorders>
          </w:tcPr>
          <w:p w14:paraId="426D4A62" w14:textId="77777777" w:rsidR="00E73B4A" w:rsidRDefault="00E73B4A">
            <w:pPr>
              <w:pStyle w:val="TableText"/>
              <w:rPr>
                <w:sz w:val="16"/>
                <w:szCs w:val="16"/>
              </w:rPr>
            </w:pPr>
          </w:p>
        </w:tc>
        <w:tc>
          <w:tcPr>
            <w:tcW w:w="671" w:type="dxa"/>
            <w:tcBorders>
              <w:left w:val="single" w:sz="4" w:space="0" w:color="000000"/>
              <w:bottom w:val="single" w:sz="4" w:space="0" w:color="000000"/>
              <w:right w:val="single" w:sz="4" w:space="0" w:color="000000"/>
            </w:tcBorders>
          </w:tcPr>
          <w:p w14:paraId="75CB740E" w14:textId="77777777" w:rsidR="00E73B4A" w:rsidRDefault="00E73B4A">
            <w:pPr>
              <w:pStyle w:val="TableText"/>
              <w:rPr>
                <w:sz w:val="16"/>
                <w:szCs w:val="16"/>
              </w:rPr>
            </w:pPr>
          </w:p>
        </w:tc>
        <w:tc>
          <w:tcPr>
            <w:tcW w:w="690" w:type="dxa"/>
            <w:tcBorders>
              <w:left w:val="single" w:sz="4" w:space="0" w:color="000000"/>
              <w:bottom w:val="single" w:sz="4" w:space="0" w:color="000000"/>
              <w:right w:val="single" w:sz="4" w:space="0" w:color="000000"/>
            </w:tcBorders>
          </w:tcPr>
          <w:p w14:paraId="193030DA" w14:textId="77777777" w:rsidR="00E73B4A" w:rsidRDefault="00E73B4A">
            <w:pPr>
              <w:pStyle w:val="TableText"/>
              <w:rPr>
                <w:sz w:val="16"/>
                <w:szCs w:val="16"/>
              </w:rPr>
            </w:pPr>
          </w:p>
        </w:tc>
        <w:tc>
          <w:tcPr>
            <w:tcW w:w="720" w:type="dxa"/>
            <w:tcBorders>
              <w:left w:val="single" w:sz="4" w:space="0" w:color="000000"/>
              <w:bottom w:val="single" w:sz="4" w:space="0" w:color="000000"/>
            </w:tcBorders>
          </w:tcPr>
          <w:p w14:paraId="68CEE718" w14:textId="77777777" w:rsidR="00E73B4A" w:rsidRDefault="00E73B4A">
            <w:pPr>
              <w:pStyle w:val="TableText"/>
              <w:rPr>
                <w:sz w:val="16"/>
                <w:szCs w:val="16"/>
              </w:rPr>
            </w:pPr>
          </w:p>
        </w:tc>
        <w:tc>
          <w:tcPr>
            <w:tcW w:w="690" w:type="dxa"/>
            <w:tcBorders>
              <w:left w:val="single" w:sz="4" w:space="0" w:color="000000"/>
              <w:bottom w:val="single" w:sz="4" w:space="0" w:color="000000"/>
            </w:tcBorders>
          </w:tcPr>
          <w:p w14:paraId="648483FE" w14:textId="77777777" w:rsidR="00E73B4A" w:rsidRDefault="00E73B4A">
            <w:pPr>
              <w:pStyle w:val="TableText"/>
              <w:rPr>
                <w:sz w:val="16"/>
                <w:szCs w:val="16"/>
              </w:rPr>
            </w:pPr>
          </w:p>
        </w:tc>
        <w:tc>
          <w:tcPr>
            <w:tcW w:w="587" w:type="dxa"/>
            <w:tcBorders>
              <w:left w:val="single" w:sz="4" w:space="0" w:color="000000"/>
              <w:bottom w:val="single" w:sz="4" w:space="0" w:color="000000"/>
            </w:tcBorders>
          </w:tcPr>
          <w:p w14:paraId="4AC8A647" w14:textId="77777777" w:rsidR="00E73B4A" w:rsidRDefault="00E73B4A">
            <w:pPr>
              <w:pStyle w:val="TableText"/>
              <w:rPr>
                <w:sz w:val="16"/>
                <w:szCs w:val="16"/>
              </w:rPr>
            </w:pPr>
          </w:p>
        </w:tc>
        <w:tc>
          <w:tcPr>
            <w:tcW w:w="706" w:type="dxa"/>
            <w:tcBorders>
              <w:left w:val="single" w:sz="4" w:space="0" w:color="000000"/>
              <w:bottom w:val="single" w:sz="4" w:space="0" w:color="000000"/>
            </w:tcBorders>
          </w:tcPr>
          <w:p w14:paraId="0E9FC711" w14:textId="77777777" w:rsidR="00E73B4A" w:rsidRDefault="00E73B4A">
            <w:pPr>
              <w:pStyle w:val="TableText"/>
              <w:rPr>
                <w:sz w:val="16"/>
                <w:szCs w:val="16"/>
              </w:rPr>
            </w:pPr>
          </w:p>
        </w:tc>
        <w:tc>
          <w:tcPr>
            <w:tcW w:w="709" w:type="dxa"/>
            <w:tcBorders>
              <w:left w:val="single" w:sz="4" w:space="0" w:color="000000"/>
              <w:bottom w:val="single" w:sz="4" w:space="0" w:color="000000"/>
            </w:tcBorders>
          </w:tcPr>
          <w:p w14:paraId="22A47F6A" w14:textId="77777777" w:rsidR="00E73B4A" w:rsidRDefault="00E73B4A">
            <w:pPr>
              <w:pStyle w:val="TableText"/>
              <w:rPr>
                <w:sz w:val="16"/>
                <w:szCs w:val="16"/>
              </w:rPr>
            </w:pPr>
          </w:p>
        </w:tc>
        <w:tc>
          <w:tcPr>
            <w:tcW w:w="570" w:type="dxa"/>
            <w:tcBorders>
              <w:left w:val="single" w:sz="4" w:space="0" w:color="000000"/>
              <w:bottom w:val="single" w:sz="4" w:space="0" w:color="000000"/>
            </w:tcBorders>
          </w:tcPr>
          <w:p w14:paraId="1BB8CDBE" w14:textId="77777777" w:rsidR="00E73B4A" w:rsidRDefault="00E73B4A">
            <w:pPr>
              <w:pStyle w:val="TableText"/>
              <w:rPr>
                <w:sz w:val="16"/>
                <w:szCs w:val="16"/>
              </w:rPr>
            </w:pPr>
          </w:p>
        </w:tc>
        <w:tc>
          <w:tcPr>
            <w:tcW w:w="777" w:type="dxa"/>
            <w:tcBorders>
              <w:left w:val="single" w:sz="4" w:space="0" w:color="000000"/>
              <w:bottom w:val="single" w:sz="4" w:space="0" w:color="000000"/>
              <w:right w:val="single" w:sz="4" w:space="0" w:color="000000"/>
            </w:tcBorders>
          </w:tcPr>
          <w:p w14:paraId="1BB9A966" w14:textId="77777777" w:rsidR="00E73B4A" w:rsidRDefault="00E73B4A">
            <w:pPr>
              <w:pStyle w:val="TableText"/>
              <w:rPr>
                <w:sz w:val="16"/>
                <w:szCs w:val="16"/>
              </w:rPr>
            </w:pPr>
          </w:p>
        </w:tc>
        <w:tc>
          <w:tcPr>
            <w:tcW w:w="700" w:type="dxa"/>
            <w:tcBorders>
              <w:top w:val="single" w:sz="4" w:space="0" w:color="000000"/>
              <w:left w:val="single" w:sz="4" w:space="0" w:color="000000"/>
              <w:bottom w:val="single" w:sz="4" w:space="0" w:color="000000"/>
              <w:right w:val="single" w:sz="4" w:space="0" w:color="000000"/>
            </w:tcBorders>
          </w:tcPr>
          <w:p w14:paraId="3CA46A73" w14:textId="77777777" w:rsidR="00E73B4A" w:rsidRDefault="00E73B4A">
            <w:pPr>
              <w:pStyle w:val="TableText"/>
              <w:rPr>
                <w:sz w:val="16"/>
                <w:szCs w:val="16"/>
              </w:rPr>
            </w:pPr>
          </w:p>
        </w:tc>
      </w:tr>
      <w:tr w:rsidR="00E73B4A" w14:paraId="1F1B3522" w14:textId="77777777">
        <w:tc>
          <w:tcPr>
            <w:tcW w:w="974" w:type="dxa"/>
            <w:tcBorders>
              <w:left w:val="single" w:sz="4" w:space="0" w:color="000000"/>
              <w:bottom w:val="single" w:sz="4" w:space="0" w:color="000000"/>
            </w:tcBorders>
          </w:tcPr>
          <w:p w14:paraId="7E19C1A4" w14:textId="77777777" w:rsidR="00E73B4A" w:rsidRDefault="00000000">
            <w:pPr>
              <w:pStyle w:val="TableEmphasis"/>
            </w:pPr>
            <w:r>
              <w:t>Full-time</w:t>
            </w:r>
          </w:p>
        </w:tc>
        <w:tc>
          <w:tcPr>
            <w:tcW w:w="678" w:type="dxa"/>
            <w:tcBorders>
              <w:left w:val="single" w:sz="4" w:space="0" w:color="000000"/>
              <w:bottom w:val="single" w:sz="4" w:space="0" w:color="000000"/>
            </w:tcBorders>
          </w:tcPr>
          <w:p w14:paraId="3D26AB63" w14:textId="77777777" w:rsidR="00E73B4A" w:rsidRDefault="00000000">
            <w:pPr>
              <w:pStyle w:val="TableText"/>
            </w:pPr>
            <w:r>
              <w:rPr>
                <w:sz w:val="16"/>
                <w:szCs w:val="16"/>
              </w:rPr>
              <w:t>1.61 (.</w:t>
            </w:r>
            <w:proofErr w:type="gramStart"/>
            <w:r>
              <w:rPr>
                <w:sz w:val="16"/>
                <w:szCs w:val="16"/>
              </w:rPr>
              <w:t>01)*</w:t>
            </w:r>
            <w:proofErr w:type="gramEnd"/>
            <w:r>
              <w:rPr>
                <w:sz w:val="16"/>
                <w:szCs w:val="16"/>
              </w:rPr>
              <w:t>*</w:t>
            </w:r>
          </w:p>
        </w:tc>
        <w:tc>
          <w:tcPr>
            <w:tcW w:w="690" w:type="dxa"/>
            <w:tcBorders>
              <w:left w:val="single" w:sz="4" w:space="0" w:color="000000"/>
              <w:bottom w:val="single" w:sz="4" w:space="0" w:color="000000"/>
              <w:right w:val="single" w:sz="4" w:space="0" w:color="000000"/>
            </w:tcBorders>
          </w:tcPr>
          <w:p w14:paraId="0F89C3B8" w14:textId="77777777" w:rsidR="00E73B4A" w:rsidRDefault="00000000">
            <w:pPr>
              <w:pStyle w:val="TableText"/>
            </w:pPr>
            <w:r>
              <w:rPr>
                <w:sz w:val="16"/>
                <w:szCs w:val="16"/>
              </w:rPr>
              <w:t>4.10 (</w:t>
            </w:r>
            <w:proofErr w:type="gramStart"/>
            <w:r>
              <w:rPr>
                <w:sz w:val="16"/>
                <w:szCs w:val="16"/>
              </w:rPr>
              <w:t>0.00)*</w:t>
            </w:r>
            <w:proofErr w:type="gramEnd"/>
            <w:r>
              <w:rPr>
                <w:sz w:val="16"/>
                <w:szCs w:val="16"/>
              </w:rPr>
              <w:t>**</w:t>
            </w:r>
          </w:p>
        </w:tc>
        <w:tc>
          <w:tcPr>
            <w:tcW w:w="671" w:type="dxa"/>
            <w:tcBorders>
              <w:left w:val="single" w:sz="4" w:space="0" w:color="000000"/>
              <w:bottom w:val="single" w:sz="4" w:space="0" w:color="000000"/>
              <w:right w:val="single" w:sz="4" w:space="0" w:color="000000"/>
            </w:tcBorders>
          </w:tcPr>
          <w:p w14:paraId="332619A6" w14:textId="77777777" w:rsidR="00E73B4A" w:rsidRDefault="00000000">
            <w:pPr>
              <w:pStyle w:val="TableText"/>
            </w:pPr>
            <w:r>
              <w:rPr>
                <w:sz w:val="16"/>
                <w:szCs w:val="16"/>
              </w:rPr>
              <w:t>8.61 (</w:t>
            </w:r>
            <w:proofErr w:type="gramStart"/>
            <w:r>
              <w:rPr>
                <w:sz w:val="16"/>
                <w:szCs w:val="16"/>
              </w:rPr>
              <w:t>0.00)*</w:t>
            </w:r>
            <w:proofErr w:type="gramEnd"/>
            <w:r>
              <w:rPr>
                <w:sz w:val="16"/>
                <w:szCs w:val="16"/>
              </w:rPr>
              <w:t>**</w:t>
            </w:r>
          </w:p>
        </w:tc>
        <w:tc>
          <w:tcPr>
            <w:tcW w:w="690" w:type="dxa"/>
            <w:tcBorders>
              <w:left w:val="single" w:sz="4" w:space="0" w:color="000000"/>
              <w:bottom w:val="single" w:sz="4" w:space="0" w:color="000000"/>
              <w:right w:val="single" w:sz="4" w:space="0" w:color="000000"/>
            </w:tcBorders>
          </w:tcPr>
          <w:p w14:paraId="57B2CACC" w14:textId="77777777" w:rsidR="00E73B4A" w:rsidRDefault="00000000">
            <w:pPr>
              <w:pStyle w:val="TableText"/>
            </w:pPr>
            <w:r>
              <w:rPr>
                <w:sz w:val="16"/>
                <w:szCs w:val="16"/>
              </w:rPr>
              <w:t>1.84 (.</w:t>
            </w:r>
            <w:proofErr w:type="gramStart"/>
            <w:r>
              <w:rPr>
                <w:sz w:val="16"/>
                <w:szCs w:val="16"/>
              </w:rPr>
              <w:t>00)*</w:t>
            </w:r>
            <w:proofErr w:type="gramEnd"/>
            <w:r>
              <w:rPr>
                <w:sz w:val="16"/>
                <w:szCs w:val="16"/>
              </w:rPr>
              <w:t xml:space="preserve">* </w:t>
            </w:r>
            <w:r>
              <w:rPr>
                <w:sz w:val="16"/>
                <w:szCs w:val="16"/>
              </w:rPr>
              <w:br/>
            </w:r>
          </w:p>
        </w:tc>
        <w:tc>
          <w:tcPr>
            <w:tcW w:w="720" w:type="dxa"/>
            <w:tcBorders>
              <w:left w:val="single" w:sz="4" w:space="0" w:color="000000"/>
              <w:bottom w:val="single" w:sz="4" w:space="0" w:color="000000"/>
            </w:tcBorders>
          </w:tcPr>
          <w:p w14:paraId="011AD79E" w14:textId="77777777" w:rsidR="00E73B4A" w:rsidRDefault="00000000">
            <w:pPr>
              <w:pStyle w:val="TableText"/>
            </w:pPr>
            <w:r>
              <w:rPr>
                <w:sz w:val="16"/>
                <w:szCs w:val="16"/>
              </w:rPr>
              <w:t>3.17 (.</w:t>
            </w:r>
            <w:proofErr w:type="gramStart"/>
            <w:r>
              <w:rPr>
                <w:sz w:val="16"/>
                <w:szCs w:val="16"/>
              </w:rPr>
              <w:t>00)*</w:t>
            </w:r>
            <w:proofErr w:type="gramEnd"/>
            <w:r>
              <w:rPr>
                <w:sz w:val="16"/>
                <w:szCs w:val="16"/>
              </w:rPr>
              <w:t>**</w:t>
            </w:r>
          </w:p>
        </w:tc>
        <w:tc>
          <w:tcPr>
            <w:tcW w:w="690" w:type="dxa"/>
            <w:tcBorders>
              <w:left w:val="single" w:sz="4" w:space="0" w:color="000000"/>
              <w:bottom w:val="single" w:sz="4" w:space="0" w:color="000000"/>
            </w:tcBorders>
          </w:tcPr>
          <w:p w14:paraId="7DCE8443" w14:textId="77777777" w:rsidR="00E73B4A" w:rsidRDefault="00000000">
            <w:pPr>
              <w:pStyle w:val="TableText"/>
            </w:pPr>
            <w:r>
              <w:rPr>
                <w:sz w:val="16"/>
                <w:szCs w:val="16"/>
              </w:rPr>
              <w:t>3.50 (.</w:t>
            </w:r>
            <w:proofErr w:type="gramStart"/>
            <w:r>
              <w:rPr>
                <w:sz w:val="16"/>
                <w:szCs w:val="16"/>
              </w:rPr>
              <w:t>00)*</w:t>
            </w:r>
            <w:proofErr w:type="gramEnd"/>
            <w:r>
              <w:rPr>
                <w:sz w:val="16"/>
                <w:szCs w:val="16"/>
              </w:rPr>
              <w:t>**</w:t>
            </w:r>
          </w:p>
        </w:tc>
        <w:tc>
          <w:tcPr>
            <w:tcW w:w="587" w:type="dxa"/>
            <w:tcBorders>
              <w:left w:val="single" w:sz="4" w:space="0" w:color="000000"/>
              <w:bottom w:val="single" w:sz="4" w:space="0" w:color="000000"/>
            </w:tcBorders>
          </w:tcPr>
          <w:p w14:paraId="76B5038F" w14:textId="77777777" w:rsidR="00E73B4A" w:rsidRDefault="00000000">
            <w:pPr>
              <w:pStyle w:val="TableText"/>
            </w:pPr>
            <w:r>
              <w:rPr>
                <w:sz w:val="16"/>
                <w:szCs w:val="16"/>
              </w:rPr>
              <w:t>2.39 (.</w:t>
            </w:r>
            <w:proofErr w:type="gramStart"/>
            <w:r>
              <w:rPr>
                <w:sz w:val="16"/>
                <w:szCs w:val="16"/>
              </w:rPr>
              <w:t>03)*</w:t>
            </w:r>
            <w:proofErr w:type="gramEnd"/>
            <w:r>
              <w:rPr>
                <w:sz w:val="16"/>
                <w:szCs w:val="16"/>
              </w:rPr>
              <w:t xml:space="preserve"> </w:t>
            </w:r>
            <w:r>
              <w:rPr>
                <w:sz w:val="16"/>
                <w:szCs w:val="16"/>
              </w:rPr>
              <w:br/>
            </w:r>
          </w:p>
        </w:tc>
        <w:tc>
          <w:tcPr>
            <w:tcW w:w="706" w:type="dxa"/>
            <w:tcBorders>
              <w:left w:val="single" w:sz="4" w:space="0" w:color="000000"/>
              <w:bottom w:val="single" w:sz="4" w:space="0" w:color="000000"/>
            </w:tcBorders>
          </w:tcPr>
          <w:p w14:paraId="19568F0B" w14:textId="77777777" w:rsidR="00E73B4A" w:rsidRDefault="00000000">
            <w:pPr>
              <w:pStyle w:val="TableText"/>
            </w:pPr>
            <w:r>
              <w:rPr>
                <w:sz w:val="16"/>
                <w:szCs w:val="16"/>
              </w:rPr>
              <w:t>2.12 (.</w:t>
            </w:r>
            <w:proofErr w:type="gramStart"/>
            <w:r>
              <w:rPr>
                <w:sz w:val="16"/>
                <w:szCs w:val="16"/>
              </w:rPr>
              <w:t>05)*</w:t>
            </w:r>
            <w:proofErr w:type="gramEnd"/>
          </w:p>
        </w:tc>
        <w:tc>
          <w:tcPr>
            <w:tcW w:w="709" w:type="dxa"/>
            <w:tcBorders>
              <w:left w:val="single" w:sz="4" w:space="0" w:color="000000"/>
              <w:bottom w:val="single" w:sz="4" w:space="0" w:color="000000"/>
            </w:tcBorders>
          </w:tcPr>
          <w:p w14:paraId="28BA69D8" w14:textId="77777777" w:rsidR="00E73B4A" w:rsidRDefault="00000000">
            <w:pPr>
              <w:pStyle w:val="TableText"/>
            </w:pPr>
            <w:r>
              <w:rPr>
                <w:sz w:val="16"/>
                <w:szCs w:val="16"/>
              </w:rPr>
              <w:t>1.14 (.73)</w:t>
            </w:r>
          </w:p>
        </w:tc>
        <w:tc>
          <w:tcPr>
            <w:tcW w:w="570" w:type="dxa"/>
            <w:tcBorders>
              <w:left w:val="single" w:sz="4" w:space="0" w:color="000000"/>
              <w:bottom w:val="single" w:sz="4" w:space="0" w:color="000000"/>
            </w:tcBorders>
          </w:tcPr>
          <w:p w14:paraId="127B5CF0" w14:textId="77777777" w:rsidR="00E73B4A" w:rsidRDefault="00000000">
            <w:pPr>
              <w:pStyle w:val="TableText"/>
            </w:pPr>
            <w:r>
              <w:rPr>
                <w:sz w:val="16"/>
                <w:szCs w:val="16"/>
              </w:rPr>
              <w:t>.73 (.16)</w:t>
            </w:r>
            <w:r>
              <w:rPr>
                <w:sz w:val="16"/>
                <w:szCs w:val="16"/>
              </w:rPr>
              <w:br/>
            </w:r>
          </w:p>
        </w:tc>
        <w:tc>
          <w:tcPr>
            <w:tcW w:w="777" w:type="dxa"/>
            <w:tcBorders>
              <w:left w:val="single" w:sz="4" w:space="0" w:color="000000"/>
              <w:bottom w:val="single" w:sz="4" w:space="0" w:color="000000"/>
              <w:right w:val="single" w:sz="4" w:space="0" w:color="000000"/>
            </w:tcBorders>
          </w:tcPr>
          <w:p w14:paraId="21A91205" w14:textId="77777777" w:rsidR="00E73B4A" w:rsidRDefault="00000000">
            <w:pPr>
              <w:pStyle w:val="TableText"/>
            </w:pPr>
            <w:r>
              <w:rPr>
                <w:sz w:val="16"/>
                <w:szCs w:val="16"/>
              </w:rPr>
              <w:t>1.56 (.07)</w:t>
            </w:r>
          </w:p>
        </w:tc>
        <w:tc>
          <w:tcPr>
            <w:tcW w:w="700" w:type="dxa"/>
            <w:tcBorders>
              <w:top w:val="single" w:sz="4" w:space="0" w:color="000000"/>
              <w:left w:val="single" w:sz="4" w:space="0" w:color="000000"/>
              <w:bottom w:val="single" w:sz="4" w:space="0" w:color="000000"/>
              <w:right w:val="single" w:sz="4" w:space="0" w:color="000000"/>
            </w:tcBorders>
          </w:tcPr>
          <w:p w14:paraId="6E251172" w14:textId="77777777" w:rsidR="00E73B4A" w:rsidRDefault="00000000">
            <w:pPr>
              <w:pStyle w:val="TableText"/>
            </w:pPr>
            <w:r>
              <w:rPr>
                <w:sz w:val="16"/>
                <w:szCs w:val="16"/>
              </w:rPr>
              <w:t>1.30 (.24)</w:t>
            </w:r>
          </w:p>
        </w:tc>
      </w:tr>
      <w:tr w:rsidR="00E73B4A" w14:paraId="53506301" w14:textId="77777777">
        <w:tc>
          <w:tcPr>
            <w:tcW w:w="974" w:type="dxa"/>
            <w:tcBorders>
              <w:left w:val="single" w:sz="4" w:space="0" w:color="000000"/>
              <w:bottom w:val="single" w:sz="4" w:space="0" w:color="000000"/>
            </w:tcBorders>
          </w:tcPr>
          <w:p w14:paraId="71D2106C" w14:textId="77777777" w:rsidR="00E73B4A" w:rsidRDefault="00000000">
            <w:pPr>
              <w:pStyle w:val="TableEmphasis"/>
            </w:pPr>
            <w:r>
              <w:rPr>
                <w:rFonts w:eastAsia="Arial"/>
                <w:sz w:val="14"/>
                <w:szCs w:val="14"/>
                <w:lang w:eastAsia="zh-CN" w:bidi="hi-IN"/>
              </w:rPr>
              <w:t xml:space="preserve">Field of Education (reference: </w:t>
            </w:r>
            <w:r>
              <w:rPr>
                <w:rFonts w:eastAsia="Arial"/>
                <w:color w:val="000000"/>
                <w:sz w:val="14"/>
                <w:szCs w:val="14"/>
                <w:shd w:val="clear" w:color="auto" w:fill="FFFFFF"/>
                <w:lang w:eastAsia="zh-CN" w:bidi="hi-IN"/>
              </w:rPr>
              <w:t xml:space="preserve">Teacher </w:t>
            </w:r>
            <w:r>
              <w:rPr>
                <w:rFonts w:eastAsia="Arial"/>
                <w:sz w:val="14"/>
                <w:szCs w:val="14"/>
                <w:lang w:eastAsia="zh-CN" w:bidi="hi-IN"/>
              </w:rPr>
              <w:t>Education)</w:t>
            </w:r>
          </w:p>
        </w:tc>
        <w:tc>
          <w:tcPr>
            <w:tcW w:w="678" w:type="dxa"/>
            <w:tcBorders>
              <w:left w:val="single" w:sz="4" w:space="0" w:color="000000"/>
              <w:bottom w:val="single" w:sz="4" w:space="0" w:color="000000"/>
            </w:tcBorders>
          </w:tcPr>
          <w:p w14:paraId="22CCEC7B" w14:textId="77777777" w:rsidR="00E73B4A" w:rsidRDefault="00E73B4A">
            <w:pPr>
              <w:pStyle w:val="TableText"/>
              <w:rPr>
                <w:sz w:val="16"/>
                <w:szCs w:val="16"/>
              </w:rPr>
            </w:pPr>
          </w:p>
        </w:tc>
        <w:tc>
          <w:tcPr>
            <w:tcW w:w="690" w:type="dxa"/>
            <w:tcBorders>
              <w:left w:val="single" w:sz="4" w:space="0" w:color="000000"/>
              <w:bottom w:val="single" w:sz="4" w:space="0" w:color="000000"/>
              <w:right w:val="single" w:sz="4" w:space="0" w:color="000000"/>
            </w:tcBorders>
          </w:tcPr>
          <w:p w14:paraId="2A98FE15" w14:textId="77777777" w:rsidR="00E73B4A" w:rsidRDefault="00E73B4A">
            <w:pPr>
              <w:pStyle w:val="TableText"/>
              <w:rPr>
                <w:sz w:val="16"/>
                <w:szCs w:val="16"/>
              </w:rPr>
            </w:pPr>
          </w:p>
        </w:tc>
        <w:tc>
          <w:tcPr>
            <w:tcW w:w="671" w:type="dxa"/>
            <w:tcBorders>
              <w:left w:val="single" w:sz="4" w:space="0" w:color="000000"/>
              <w:bottom w:val="single" w:sz="4" w:space="0" w:color="000000"/>
              <w:right w:val="single" w:sz="4" w:space="0" w:color="000000"/>
            </w:tcBorders>
          </w:tcPr>
          <w:p w14:paraId="4A582579" w14:textId="77777777" w:rsidR="00E73B4A" w:rsidRDefault="00E73B4A">
            <w:pPr>
              <w:pStyle w:val="TableText"/>
              <w:rPr>
                <w:sz w:val="16"/>
                <w:szCs w:val="16"/>
              </w:rPr>
            </w:pPr>
          </w:p>
        </w:tc>
        <w:tc>
          <w:tcPr>
            <w:tcW w:w="690" w:type="dxa"/>
            <w:tcBorders>
              <w:left w:val="single" w:sz="4" w:space="0" w:color="000000"/>
              <w:bottom w:val="single" w:sz="4" w:space="0" w:color="000000"/>
              <w:right w:val="single" w:sz="4" w:space="0" w:color="000000"/>
            </w:tcBorders>
          </w:tcPr>
          <w:p w14:paraId="32A2757D" w14:textId="77777777" w:rsidR="00E73B4A" w:rsidRDefault="00E73B4A">
            <w:pPr>
              <w:pStyle w:val="TableText"/>
              <w:rPr>
                <w:sz w:val="16"/>
                <w:szCs w:val="16"/>
              </w:rPr>
            </w:pPr>
          </w:p>
        </w:tc>
        <w:tc>
          <w:tcPr>
            <w:tcW w:w="720" w:type="dxa"/>
            <w:tcBorders>
              <w:left w:val="single" w:sz="4" w:space="0" w:color="000000"/>
              <w:bottom w:val="single" w:sz="4" w:space="0" w:color="000000"/>
            </w:tcBorders>
          </w:tcPr>
          <w:p w14:paraId="1D8210C8" w14:textId="77777777" w:rsidR="00E73B4A" w:rsidRDefault="00E73B4A">
            <w:pPr>
              <w:pStyle w:val="TableText"/>
              <w:rPr>
                <w:sz w:val="16"/>
                <w:szCs w:val="16"/>
              </w:rPr>
            </w:pPr>
          </w:p>
        </w:tc>
        <w:tc>
          <w:tcPr>
            <w:tcW w:w="690" w:type="dxa"/>
            <w:tcBorders>
              <w:left w:val="single" w:sz="4" w:space="0" w:color="000000"/>
              <w:bottom w:val="single" w:sz="4" w:space="0" w:color="000000"/>
            </w:tcBorders>
          </w:tcPr>
          <w:p w14:paraId="21CA905D" w14:textId="77777777" w:rsidR="00E73B4A" w:rsidRDefault="00E73B4A">
            <w:pPr>
              <w:pStyle w:val="TableText"/>
              <w:rPr>
                <w:sz w:val="16"/>
                <w:szCs w:val="16"/>
              </w:rPr>
            </w:pPr>
          </w:p>
        </w:tc>
        <w:tc>
          <w:tcPr>
            <w:tcW w:w="587" w:type="dxa"/>
            <w:tcBorders>
              <w:left w:val="single" w:sz="4" w:space="0" w:color="000000"/>
              <w:bottom w:val="single" w:sz="4" w:space="0" w:color="000000"/>
            </w:tcBorders>
          </w:tcPr>
          <w:p w14:paraId="7311131A" w14:textId="77777777" w:rsidR="00E73B4A" w:rsidRDefault="00E73B4A">
            <w:pPr>
              <w:pStyle w:val="TableText"/>
              <w:rPr>
                <w:sz w:val="16"/>
                <w:szCs w:val="16"/>
              </w:rPr>
            </w:pPr>
          </w:p>
        </w:tc>
        <w:tc>
          <w:tcPr>
            <w:tcW w:w="706" w:type="dxa"/>
            <w:tcBorders>
              <w:left w:val="single" w:sz="4" w:space="0" w:color="000000"/>
              <w:bottom w:val="single" w:sz="4" w:space="0" w:color="000000"/>
            </w:tcBorders>
          </w:tcPr>
          <w:p w14:paraId="7116CC0C" w14:textId="77777777" w:rsidR="00E73B4A" w:rsidRDefault="00E73B4A">
            <w:pPr>
              <w:pStyle w:val="TableText"/>
              <w:rPr>
                <w:sz w:val="16"/>
                <w:szCs w:val="16"/>
              </w:rPr>
            </w:pPr>
          </w:p>
        </w:tc>
        <w:tc>
          <w:tcPr>
            <w:tcW w:w="709" w:type="dxa"/>
            <w:tcBorders>
              <w:left w:val="single" w:sz="4" w:space="0" w:color="000000"/>
              <w:bottom w:val="single" w:sz="4" w:space="0" w:color="000000"/>
            </w:tcBorders>
          </w:tcPr>
          <w:p w14:paraId="129ECF17" w14:textId="77777777" w:rsidR="00E73B4A" w:rsidRDefault="00E73B4A">
            <w:pPr>
              <w:pStyle w:val="TableText"/>
              <w:rPr>
                <w:sz w:val="16"/>
                <w:szCs w:val="16"/>
              </w:rPr>
            </w:pPr>
          </w:p>
        </w:tc>
        <w:tc>
          <w:tcPr>
            <w:tcW w:w="570" w:type="dxa"/>
            <w:tcBorders>
              <w:left w:val="single" w:sz="4" w:space="0" w:color="000000"/>
              <w:bottom w:val="single" w:sz="4" w:space="0" w:color="000000"/>
            </w:tcBorders>
          </w:tcPr>
          <w:p w14:paraId="717B5A07" w14:textId="77777777" w:rsidR="00E73B4A" w:rsidRDefault="00E73B4A">
            <w:pPr>
              <w:pStyle w:val="TableText"/>
              <w:rPr>
                <w:sz w:val="16"/>
                <w:szCs w:val="16"/>
              </w:rPr>
            </w:pPr>
          </w:p>
        </w:tc>
        <w:tc>
          <w:tcPr>
            <w:tcW w:w="777" w:type="dxa"/>
            <w:tcBorders>
              <w:left w:val="single" w:sz="4" w:space="0" w:color="000000"/>
              <w:bottom w:val="single" w:sz="4" w:space="0" w:color="000000"/>
              <w:right w:val="single" w:sz="4" w:space="0" w:color="000000"/>
            </w:tcBorders>
          </w:tcPr>
          <w:p w14:paraId="2439B2FC" w14:textId="77777777" w:rsidR="00E73B4A" w:rsidRDefault="00E73B4A">
            <w:pPr>
              <w:pStyle w:val="TableText"/>
              <w:rPr>
                <w:sz w:val="16"/>
                <w:szCs w:val="16"/>
              </w:rPr>
            </w:pPr>
          </w:p>
        </w:tc>
        <w:tc>
          <w:tcPr>
            <w:tcW w:w="700" w:type="dxa"/>
            <w:tcBorders>
              <w:top w:val="single" w:sz="4" w:space="0" w:color="000000"/>
              <w:left w:val="single" w:sz="4" w:space="0" w:color="000000"/>
              <w:bottom w:val="single" w:sz="4" w:space="0" w:color="000000"/>
              <w:right w:val="single" w:sz="4" w:space="0" w:color="000000"/>
            </w:tcBorders>
          </w:tcPr>
          <w:p w14:paraId="54942B5D" w14:textId="77777777" w:rsidR="00E73B4A" w:rsidRDefault="00E73B4A">
            <w:pPr>
              <w:pStyle w:val="TableText"/>
              <w:rPr>
                <w:sz w:val="16"/>
                <w:szCs w:val="16"/>
              </w:rPr>
            </w:pPr>
          </w:p>
        </w:tc>
      </w:tr>
      <w:tr w:rsidR="00E73B4A" w14:paraId="6953D9A3" w14:textId="77777777">
        <w:trPr>
          <w:trHeight w:val="281"/>
        </w:trPr>
        <w:tc>
          <w:tcPr>
            <w:tcW w:w="974" w:type="dxa"/>
            <w:tcBorders>
              <w:left w:val="single" w:sz="4" w:space="0" w:color="000000"/>
              <w:bottom w:val="single" w:sz="4" w:space="0" w:color="000000"/>
            </w:tcBorders>
          </w:tcPr>
          <w:p w14:paraId="4DF2FD7F" w14:textId="77777777" w:rsidR="00E73B4A" w:rsidRDefault="00000000">
            <w:pPr>
              <w:pStyle w:val="TableEmphasis"/>
            </w:pPr>
            <w:r>
              <w:t>Humanities</w:t>
            </w:r>
          </w:p>
        </w:tc>
        <w:tc>
          <w:tcPr>
            <w:tcW w:w="678" w:type="dxa"/>
            <w:tcBorders>
              <w:left w:val="single" w:sz="4" w:space="0" w:color="000000"/>
              <w:bottom w:val="single" w:sz="4" w:space="0" w:color="000000"/>
            </w:tcBorders>
          </w:tcPr>
          <w:p w14:paraId="7DF3CCB2" w14:textId="77777777" w:rsidR="00E73B4A" w:rsidRDefault="00000000">
            <w:pPr>
              <w:pStyle w:val="TableText"/>
            </w:pPr>
            <w:r>
              <w:rPr>
                <w:sz w:val="16"/>
                <w:szCs w:val="16"/>
              </w:rPr>
              <w:t>1.07 (.76)</w:t>
            </w:r>
          </w:p>
        </w:tc>
        <w:tc>
          <w:tcPr>
            <w:tcW w:w="690" w:type="dxa"/>
            <w:tcBorders>
              <w:left w:val="single" w:sz="4" w:space="0" w:color="000000"/>
              <w:bottom w:val="single" w:sz="4" w:space="0" w:color="000000"/>
              <w:right w:val="single" w:sz="4" w:space="0" w:color="000000"/>
            </w:tcBorders>
          </w:tcPr>
          <w:p w14:paraId="0D00C785" w14:textId="77777777" w:rsidR="00E73B4A" w:rsidRDefault="00000000">
            <w:pPr>
              <w:pStyle w:val="TableText"/>
            </w:pPr>
            <w:r>
              <w:rPr>
                <w:sz w:val="16"/>
                <w:szCs w:val="16"/>
              </w:rPr>
              <w:t>1.71 (.05)</w:t>
            </w:r>
          </w:p>
        </w:tc>
        <w:tc>
          <w:tcPr>
            <w:tcW w:w="671" w:type="dxa"/>
            <w:tcBorders>
              <w:left w:val="single" w:sz="4" w:space="0" w:color="000000"/>
              <w:bottom w:val="single" w:sz="4" w:space="0" w:color="000000"/>
              <w:right w:val="single" w:sz="4" w:space="0" w:color="000000"/>
            </w:tcBorders>
          </w:tcPr>
          <w:p w14:paraId="71F300B8" w14:textId="77777777" w:rsidR="00E73B4A" w:rsidRDefault="00000000">
            <w:pPr>
              <w:pStyle w:val="TableText"/>
            </w:pPr>
            <w:r>
              <w:rPr>
                <w:sz w:val="16"/>
                <w:szCs w:val="16"/>
              </w:rPr>
              <w:t>1.63 (.14)</w:t>
            </w:r>
          </w:p>
        </w:tc>
        <w:tc>
          <w:tcPr>
            <w:tcW w:w="690" w:type="dxa"/>
            <w:tcBorders>
              <w:left w:val="single" w:sz="4" w:space="0" w:color="000000"/>
              <w:bottom w:val="single" w:sz="4" w:space="0" w:color="000000"/>
              <w:right w:val="single" w:sz="4" w:space="0" w:color="000000"/>
            </w:tcBorders>
          </w:tcPr>
          <w:p w14:paraId="126F9705" w14:textId="77777777" w:rsidR="00E73B4A" w:rsidRDefault="00000000">
            <w:pPr>
              <w:pStyle w:val="TableText"/>
            </w:pPr>
            <w:r>
              <w:rPr>
                <w:sz w:val="16"/>
                <w:szCs w:val="16"/>
              </w:rPr>
              <w:t>1.33 (.20)</w:t>
            </w:r>
            <w:r>
              <w:rPr>
                <w:sz w:val="16"/>
                <w:szCs w:val="16"/>
              </w:rPr>
              <w:br/>
            </w:r>
          </w:p>
        </w:tc>
        <w:tc>
          <w:tcPr>
            <w:tcW w:w="720" w:type="dxa"/>
            <w:tcBorders>
              <w:left w:val="single" w:sz="4" w:space="0" w:color="000000"/>
              <w:bottom w:val="single" w:sz="4" w:space="0" w:color="000000"/>
            </w:tcBorders>
          </w:tcPr>
          <w:p w14:paraId="5E015E2D" w14:textId="77777777" w:rsidR="00E73B4A" w:rsidRDefault="00000000">
            <w:pPr>
              <w:pStyle w:val="TableText"/>
            </w:pPr>
            <w:r>
              <w:rPr>
                <w:sz w:val="16"/>
                <w:szCs w:val="16"/>
              </w:rPr>
              <w:t>3.23 (.</w:t>
            </w:r>
            <w:proofErr w:type="gramStart"/>
            <w:r>
              <w:rPr>
                <w:sz w:val="16"/>
                <w:szCs w:val="16"/>
              </w:rPr>
              <w:t>00)*</w:t>
            </w:r>
            <w:proofErr w:type="gramEnd"/>
            <w:r>
              <w:rPr>
                <w:sz w:val="16"/>
                <w:szCs w:val="16"/>
              </w:rPr>
              <w:t>**</w:t>
            </w:r>
          </w:p>
        </w:tc>
        <w:tc>
          <w:tcPr>
            <w:tcW w:w="690" w:type="dxa"/>
            <w:tcBorders>
              <w:left w:val="single" w:sz="4" w:space="0" w:color="000000"/>
              <w:bottom w:val="single" w:sz="4" w:space="0" w:color="000000"/>
            </w:tcBorders>
          </w:tcPr>
          <w:p w14:paraId="7586C97F" w14:textId="77777777" w:rsidR="00E73B4A" w:rsidRDefault="00000000">
            <w:pPr>
              <w:pStyle w:val="TableText"/>
            </w:pPr>
            <w:r>
              <w:rPr>
                <w:sz w:val="16"/>
                <w:szCs w:val="16"/>
              </w:rPr>
              <w:t>4.24 (.</w:t>
            </w:r>
            <w:proofErr w:type="gramStart"/>
            <w:r>
              <w:rPr>
                <w:sz w:val="16"/>
                <w:szCs w:val="16"/>
              </w:rPr>
              <w:t>00)*</w:t>
            </w:r>
            <w:proofErr w:type="gramEnd"/>
            <w:r>
              <w:rPr>
                <w:sz w:val="16"/>
                <w:szCs w:val="16"/>
              </w:rPr>
              <w:t>**</w:t>
            </w:r>
          </w:p>
        </w:tc>
        <w:tc>
          <w:tcPr>
            <w:tcW w:w="587" w:type="dxa"/>
            <w:tcBorders>
              <w:left w:val="single" w:sz="4" w:space="0" w:color="000000"/>
              <w:bottom w:val="single" w:sz="4" w:space="0" w:color="000000"/>
            </w:tcBorders>
          </w:tcPr>
          <w:p w14:paraId="4EED1595" w14:textId="77777777" w:rsidR="00E73B4A" w:rsidRDefault="00000000">
            <w:pPr>
              <w:pStyle w:val="TableText"/>
            </w:pPr>
            <w:r>
              <w:rPr>
                <w:sz w:val="16"/>
                <w:szCs w:val="16"/>
              </w:rPr>
              <w:t>1.43 (.47)</w:t>
            </w:r>
          </w:p>
        </w:tc>
        <w:tc>
          <w:tcPr>
            <w:tcW w:w="706" w:type="dxa"/>
            <w:tcBorders>
              <w:left w:val="single" w:sz="4" w:space="0" w:color="000000"/>
              <w:bottom w:val="single" w:sz="4" w:space="0" w:color="000000"/>
            </w:tcBorders>
          </w:tcPr>
          <w:p w14:paraId="7861C620" w14:textId="77777777" w:rsidR="00E73B4A" w:rsidRDefault="00000000">
            <w:pPr>
              <w:pStyle w:val="TableText"/>
            </w:pPr>
            <w:r>
              <w:rPr>
                <w:sz w:val="16"/>
                <w:szCs w:val="16"/>
              </w:rPr>
              <w:t>1.33 (.53)</w:t>
            </w:r>
          </w:p>
        </w:tc>
        <w:tc>
          <w:tcPr>
            <w:tcW w:w="709" w:type="dxa"/>
            <w:tcBorders>
              <w:left w:val="single" w:sz="4" w:space="0" w:color="000000"/>
              <w:bottom w:val="single" w:sz="4" w:space="0" w:color="000000"/>
            </w:tcBorders>
          </w:tcPr>
          <w:p w14:paraId="59FAA106" w14:textId="77777777" w:rsidR="00E73B4A" w:rsidRDefault="00000000">
            <w:pPr>
              <w:pStyle w:val="TableText"/>
            </w:pPr>
            <w:r>
              <w:rPr>
                <w:sz w:val="16"/>
                <w:szCs w:val="16"/>
              </w:rPr>
              <w:t>.80 (.63)</w:t>
            </w:r>
          </w:p>
        </w:tc>
        <w:tc>
          <w:tcPr>
            <w:tcW w:w="570" w:type="dxa"/>
            <w:tcBorders>
              <w:left w:val="single" w:sz="4" w:space="0" w:color="000000"/>
              <w:bottom w:val="single" w:sz="4" w:space="0" w:color="000000"/>
            </w:tcBorders>
          </w:tcPr>
          <w:p w14:paraId="7F00567E" w14:textId="77777777" w:rsidR="00E73B4A" w:rsidRDefault="00000000">
            <w:pPr>
              <w:pStyle w:val="TableText"/>
            </w:pPr>
            <w:r>
              <w:rPr>
                <w:sz w:val="16"/>
                <w:szCs w:val="16"/>
              </w:rPr>
              <w:t>.79 (.41)</w:t>
            </w:r>
          </w:p>
        </w:tc>
        <w:tc>
          <w:tcPr>
            <w:tcW w:w="777" w:type="dxa"/>
            <w:tcBorders>
              <w:left w:val="single" w:sz="4" w:space="0" w:color="000000"/>
              <w:bottom w:val="single" w:sz="4" w:space="0" w:color="000000"/>
              <w:right w:val="single" w:sz="4" w:space="0" w:color="000000"/>
            </w:tcBorders>
          </w:tcPr>
          <w:p w14:paraId="4B030E84" w14:textId="77777777" w:rsidR="00E73B4A" w:rsidRDefault="00000000">
            <w:pPr>
              <w:pStyle w:val="TableText"/>
            </w:pPr>
            <w:r>
              <w:rPr>
                <w:rFonts w:eastAsia="Arial"/>
                <w:color w:val="000000"/>
                <w:sz w:val="16"/>
                <w:szCs w:val="16"/>
                <w:shd w:val="clear" w:color="auto" w:fill="FFFFFF"/>
                <w:lang w:eastAsia="zh-CN" w:bidi="hi-IN"/>
              </w:rPr>
              <w:t xml:space="preserve">.60 </w:t>
            </w:r>
            <w:r>
              <w:rPr>
                <w:rFonts w:eastAsia="Arial"/>
                <w:sz w:val="16"/>
                <w:szCs w:val="16"/>
                <w:shd w:val="clear" w:color="auto" w:fill="FFFFFF"/>
              </w:rPr>
              <w:br/>
              <w:t>(.10)</w:t>
            </w:r>
          </w:p>
        </w:tc>
        <w:tc>
          <w:tcPr>
            <w:tcW w:w="700" w:type="dxa"/>
            <w:tcBorders>
              <w:top w:val="single" w:sz="4" w:space="0" w:color="000000"/>
              <w:left w:val="single" w:sz="4" w:space="0" w:color="000000"/>
              <w:bottom w:val="single" w:sz="4" w:space="0" w:color="000000"/>
              <w:right w:val="single" w:sz="4" w:space="0" w:color="000000"/>
            </w:tcBorders>
          </w:tcPr>
          <w:p w14:paraId="4F50C9A0" w14:textId="77777777" w:rsidR="00E73B4A" w:rsidRDefault="00000000">
            <w:pPr>
              <w:pStyle w:val="TableText"/>
            </w:pPr>
            <w:r>
              <w:rPr>
                <w:sz w:val="16"/>
                <w:szCs w:val="16"/>
              </w:rPr>
              <w:t>1.08 (.80)</w:t>
            </w:r>
          </w:p>
        </w:tc>
      </w:tr>
      <w:tr w:rsidR="00E73B4A" w14:paraId="5F6A60D1" w14:textId="77777777">
        <w:tc>
          <w:tcPr>
            <w:tcW w:w="974" w:type="dxa"/>
            <w:tcBorders>
              <w:left w:val="single" w:sz="4" w:space="0" w:color="000000"/>
              <w:bottom w:val="single" w:sz="4" w:space="0" w:color="000000"/>
            </w:tcBorders>
          </w:tcPr>
          <w:p w14:paraId="50D12C3D" w14:textId="77777777" w:rsidR="00E73B4A" w:rsidRDefault="00000000">
            <w:pPr>
              <w:pStyle w:val="TableEmphasis"/>
            </w:pPr>
            <w:r>
              <w:t>Social-Science</w:t>
            </w:r>
          </w:p>
        </w:tc>
        <w:tc>
          <w:tcPr>
            <w:tcW w:w="678" w:type="dxa"/>
            <w:tcBorders>
              <w:left w:val="single" w:sz="4" w:space="0" w:color="000000"/>
              <w:bottom w:val="single" w:sz="4" w:space="0" w:color="000000"/>
            </w:tcBorders>
          </w:tcPr>
          <w:p w14:paraId="039AFAD4" w14:textId="77777777" w:rsidR="00E73B4A" w:rsidRDefault="00000000">
            <w:pPr>
              <w:pStyle w:val="TableText"/>
            </w:pPr>
            <w:r>
              <w:rPr>
                <w:sz w:val="16"/>
                <w:szCs w:val="16"/>
              </w:rPr>
              <w:t>.80 (.33)</w:t>
            </w:r>
          </w:p>
        </w:tc>
        <w:tc>
          <w:tcPr>
            <w:tcW w:w="690" w:type="dxa"/>
            <w:tcBorders>
              <w:left w:val="single" w:sz="4" w:space="0" w:color="000000"/>
              <w:bottom w:val="single" w:sz="4" w:space="0" w:color="000000"/>
              <w:right w:val="single" w:sz="4" w:space="0" w:color="000000"/>
            </w:tcBorders>
          </w:tcPr>
          <w:p w14:paraId="6B95423F" w14:textId="77777777" w:rsidR="00E73B4A" w:rsidRDefault="00000000">
            <w:pPr>
              <w:pStyle w:val="TableText"/>
            </w:pPr>
            <w:r>
              <w:rPr>
                <w:sz w:val="16"/>
                <w:szCs w:val="16"/>
              </w:rPr>
              <w:t>1.32 (.32)</w:t>
            </w:r>
          </w:p>
        </w:tc>
        <w:tc>
          <w:tcPr>
            <w:tcW w:w="671" w:type="dxa"/>
            <w:tcBorders>
              <w:left w:val="single" w:sz="4" w:space="0" w:color="000000"/>
              <w:bottom w:val="single" w:sz="4" w:space="0" w:color="000000"/>
              <w:right w:val="single" w:sz="4" w:space="0" w:color="000000"/>
            </w:tcBorders>
          </w:tcPr>
          <w:p w14:paraId="581B63AC" w14:textId="77777777" w:rsidR="00E73B4A" w:rsidRDefault="00000000">
            <w:pPr>
              <w:pStyle w:val="TableText"/>
            </w:pPr>
            <w:r>
              <w:rPr>
                <w:sz w:val="16"/>
                <w:szCs w:val="16"/>
              </w:rPr>
              <w:t>1.59 (.16)</w:t>
            </w:r>
          </w:p>
        </w:tc>
        <w:tc>
          <w:tcPr>
            <w:tcW w:w="690" w:type="dxa"/>
            <w:tcBorders>
              <w:left w:val="single" w:sz="4" w:space="0" w:color="000000"/>
              <w:bottom w:val="single" w:sz="4" w:space="0" w:color="000000"/>
              <w:right w:val="single" w:sz="4" w:space="0" w:color="000000"/>
            </w:tcBorders>
          </w:tcPr>
          <w:p w14:paraId="2DCB8FD5" w14:textId="77777777" w:rsidR="00E73B4A" w:rsidRDefault="00000000">
            <w:pPr>
              <w:pStyle w:val="TableText"/>
            </w:pPr>
            <w:r>
              <w:rPr>
                <w:sz w:val="16"/>
                <w:szCs w:val="16"/>
              </w:rPr>
              <w:t>1.51 (.07)</w:t>
            </w:r>
          </w:p>
        </w:tc>
        <w:tc>
          <w:tcPr>
            <w:tcW w:w="720" w:type="dxa"/>
            <w:tcBorders>
              <w:left w:val="single" w:sz="4" w:space="0" w:color="000000"/>
              <w:bottom w:val="single" w:sz="4" w:space="0" w:color="000000"/>
            </w:tcBorders>
          </w:tcPr>
          <w:p w14:paraId="7559A9C1" w14:textId="77777777" w:rsidR="00E73B4A" w:rsidRDefault="00000000">
            <w:pPr>
              <w:pStyle w:val="TableText"/>
            </w:pPr>
            <w:r>
              <w:rPr>
                <w:sz w:val="16"/>
                <w:szCs w:val="16"/>
              </w:rPr>
              <w:t>3.59 (.</w:t>
            </w:r>
            <w:proofErr w:type="gramStart"/>
            <w:r>
              <w:rPr>
                <w:sz w:val="16"/>
                <w:szCs w:val="16"/>
              </w:rPr>
              <w:t>00)*</w:t>
            </w:r>
            <w:proofErr w:type="gramEnd"/>
            <w:r>
              <w:rPr>
                <w:sz w:val="16"/>
                <w:szCs w:val="16"/>
              </w:rPr>
              <w:t>**</w:t>
            </w:r>
          </w:p>
        </w:tc>
        <w:tc>
          <w:tcPr>
            <w:tcW w:w="690" w:type="dxa"/>
            <w:tcBorders>
              <w:left w:val="single" w:sz="4" w:space="0" w:color="000000"/>
              <w:bottom w:val="single" w:sz="4" w:space="0" w:color="000000"/>
            </w:tcBorders>
          </w:tcPr>
          <w:p w14:paraId="0BD246FB" w14:textId="77777777" w:rsidR="00E73B4A" w:rsidRDefault="00000000">
            <w:pPr>
              <w:pStyle w:val="TableText"/>
            </w:pPr>
            <w:r>
              <w:rPr>
                <w:sz w:val="16"/>
                <w:szCs w:val="16"/>
              </w:rPr>
              <w:t>5.92 (.</w:t>
            </w:r>
            <w:proofErr w:type="gramStart"/>
            <w:r>
              <w:rPr>
                <w:sz w:val="16"/>
                <w:szCs w:val="16"/>
              </w:rPr>
              <w:t>00)*</w:t>
            </w:r>
            <w:proofErr w:type="gramEnd"/>
            <w:r>
              <w:rPr>
                <w:sz w:val="16"/>
                <w:szCs w:val="16"/>
              </w:rPr>
              <w:t>**</w:t>
            </w:r>
          </w:p>
        </w:tc>
        <w:tc>
          <w:tcPr>
            <w:tcW w:w="587" w:type="dxa"/>
            <w:tcBorders>
              <w:left w:val="single" w:sz="4" w:space="0" w:color="000000"/>
              <w:bottom w:val="single" w:sz="4" w:space="0" w:color="000000"/>
            </w:tcBorders>
          </w:tcPr>
          <w:p w14:paraId="1CF9B406" w14:textId="77777777" w:rsidR="00E73B4A" w:rsidRDefault="00000000">
            <w:pPr>
              <w:pStyle w:val="TableText"/>
            </w:pPr>
            <w:r>
              <w:rPr>
                <w:sz w:val="16"/>
                <w:szCs w:val="16"/>
              </w:rPr>
              <w:t>1.75 (.30)</w:t>
            </w:r>
          </w:p>
        </w:tc>
        <w:tc>
          <w:tcPr>
            <w:tcW w:w="706" w:type="dxa"/>
            <w:tcBorders>
              <w:left w:val="single" w:sz="4" w:space="0" w:color="000000"/>
              <w:bottom w:val="single" w:sz="4" w:space="0" w:color="000000"/>
            </w:tcBorders>
          </w:tcPr>
          <w:p w14:paraId="327BFD6F" w14:textId="77777777" w:rsidR="00E73B4A" w:rsidRDefault="00000000">
            <w:pPr>
              <w:pStyle w:val="TableText"/>
            </w:pPr>
            <w:r>
              <w:rPr>
                <w:sz w:val="16"/>
                <w:szCs w:val="16"/>
              </w:rPr>
              <w:t>2.06 (.16)</w:t>
            </w:r>
          </w:p>
        </w:tc>
        <w:tc>
          <w:tcPr>
            <w:tcW w:w="709" w:type="dxa"/>
            <w:tcBorders>
              <w:left w:val="single" w:sz="4" w:space="0" w:color="000000"/>
              <w:bottom w:val="single" w:sz="4" w:space="0" w:color="000000"/>
            </w:tcBorders>
          </w:tcPr>
          <w:p w14:paraId="59B64817" w14:textId="77777777" w:rsidR="00E73B4A" w:rsidRDefault="00000000">
            <w:pPr>
              <w:pStyle w:val="TableText"/>
            </w:pPr>
            <w:r>
              <w:rPr>
                <w:sz w:val="16"/>
                <w:szCs w:val="16"/>
              </w:rPr>
              <w:t>1.56 (.37)</w:t>
            </w:r>
          </w:p>
        </w:tc>
        <w:tc>
          <w:tcPr>
            <w:tcW w:w="570" w:type="dxa"/>
            <w:tcBorders>
              <w:left w:val="single" w:sz="4" w:space="0" w:color="000000"/>
              <w:bottom w:val="single" w:sz="4" w:space="0" w:color="000000"/>
            </w:tcBorders>
          </w:tcPr>
          <w:p w14:paraId="40F8801C" w14:textId="77777777" w:rsidR="00E73B4A" w:rsidRDefault="00000000">
            <w:pPr>
              <w:pStyle w:val="TableText"/>
            </w:pPr>
            <w:r>
              <w:rPr>
                <w:sz w:val="16"/>
                <w:szCs w:val="16"/>
              </w:rPr>
              <w:t>.79 (.43)</w:t>
            </w:r>
          </w:p>
        </w:tc>
        <w:tc>
          <w:tcPr>
            <w:tcW w:w="777" w:type="dxa"/>
            <w:tcBorders>
              <w:left w:val="single" w:sz="4" w:space="0" w:color="000000"/>
              <w:bottom w:val="single" w:sz="4" w:space="0" w:color="000000"/>
              <w:right w:val="single" w:sz="4" w:space="0" w:color="000000"/>
            </w:tcBorders>
          </w:tcPr>
          <w:p w14:paraId="18577F47" w14:textId="77777777" w:rsidR="00E73B4A" w:rsidRDefault="00000000">
            <w:pPr>
              <w:pStyle w:val="TableText"/>
            </w:pPr>
            <w:r>
              <w:rPr>
                <w:sz w:val="16"/>
                <w:szCs w:val="16"/>
              </w:rPr>
              <w:t>.69 (.23)</w:t>
            </w:r>
          </w:p>
        </w:tc>
        <w:tc>
          <w:tcPr>
            <w:tcW w:w="700" w:type="dxa"/>
            <w:tcBorders>
              <w:top w:val="single" w:sz="4" w:space="0" w:color="000000"/>
              <w:left w:val="single" w:sz="4" w:space="0" w:color="000000"/>
              <w:bottom w:val="single" w:sz="4" w:space="0" w:color="000000"/>
              <w:right w:val="single" w:sz="4" w:space="0" w:color="000000"/>
            </w:tcBorders>
          </w:tcPr>
          <w:p w14:paraId="6FBA76BF" w14:textId="77777777" w:rsidR="00E73B4A" w:rsidRDefault="00000000">
            <w:pPr>
              <w:pStyle w:val="TableText"/>
            </w:pPr>
            <w:r>
              <w:rPr>
                <w:sz w:val="16"/>
                <w:szCs w:val="16"/>
              </w:rPr>
              <w:t>.76 (.37)</w:t>
            </w:r>
          </w:p>
        </w:tc>
      </w:tr>
      <w:tr w:rsidR="00E73B4A" w14:paraId="17A97172" w14:textId="77777777">
        <w:tc>
          <w:tcPr>
            <w:tcW w:w="974" w:type="dxa"/>
            <w:tcBorders>
              <w:left w:val="single" w:sz="4" w:space="0" w:color="000000"/>
              <w:bottom w:val="single" w:sz="4" w:space="0" w:color="000000"/>
            </w:tcBorders>
          </w:tcPr>
          <w:p w14:paraId="0F110D44" w14:textId="77777777" w:rsidR="00E73B4A" w:rsidRDefault="00000000">
            <w:pPr>
              <w:pStyle w:val="TableEmphasis"/>
            </w:pPr>
            <w:r>
              <w:rPr>
                <w:rFonts w:eastAsia="Arial"/>
                <w:sz w:val="14"/>
                <w:szCs w:val="14"/>
                <w:lang w:eastAsia="zh-CN" w:bidi="hi-IN"/>
              </w:rPr>
              <w:t>Level of Education (reference: MA, Undivided, PhD)</w:t>
            </w:r>
          </w:p>
        </w:tc>
        <w:tc>
          <w:tcPr>
            <w:tcW w:w="678" w:type="dxa"/>
            <w:tcBorders>
              <w:left w:val="single" w:sz="4" w:space="0" w:color="000000"/>
              <w:bottom w:val="single" w:sz="4" w:space="0" w:color="000000"/>
            </w:tcBorders>
          </w:tcPr>
          <w:p w14:paraId="1C36AD4A" w14:textId="77777777" w:rsidR="00E73B4A" w:rsidRDefault="00E73B4A">
            <w:pPr>
              <w:pStyle w:val="TableText"/>
              <w:rPr>
                <w:sz w:val="16"/>
                <w:szCs w:val="16"/>
              </w:rPr>
            </w:pPr>
          </w:p>
        </w:tc>
        <w:tc>
          <w:tcPr>
            <w:tcW w:w="690" w:type="dxa"/>
            <w:tcBorders>
              <w:left w:val="single" w:sz="4" w:space="0" w:color="000000"/>
              <w:bottom w:val="single" w:sz="4" w:space="0" w:color="000000"/>
              <w:right w:val="single" w:sz="4" w:space="0" w:color="000000"/>
            </w:tcBorders>
          </w:tcPr>
          <w:p w14:paraId="78A2C393" w14:textId="77777777" w:rsidR="00E73B4A" w:rsidRDefault="00E73B4A">
            <w:pPr>
              <w:pStyle w:val="TableText"/>
              <w:rPr>
                <w:sz w:val="16"/>
                <w:szCs w:val="16"/>
              </w:rPr>
            </w:pPr>
          </w:p>
        </w:tc>
        <w:tc>
          <w:tcPr>
            <w:tcW w:w="671" w:type="dxa"/>
            <w:tcBorders>
              <w:left w:val="single" w:sz="4" w:space="0" w:color="000000"/>
              <w:bottom w:val="single" w:sz="4" w:space="0" w:color="000000"/>
              <w:right w:val="single" w:sz="4" w:space="0" w:color="000000"/>
            </w:tcBorders>
          </w:tcPr>
          <w:p w14:paraId="1735DA7D" w14:textId="77777777" w:rsidR="00E73B4A" w:rsidRDefault="00E73B4A">
            <w:pPr>
              <w:pStyle w:val="TableText"/>
              <w:rPr>
                <w:sz w:val="16"/>
                <w:szCs w:val="16"/>
              </w:rPr>
            </w:pPr>
          </w:p>
        </w:tc>
        <w:tc>
          <w:tcPr>
            <w:tcW w:w="690" w:type="dxa"/>
            <w:tcBorders>
              <w:left w:val="single" w:sz="4" w:space="0" w:color="000000"/>
              <w:bottom w:val="single" w:sz="4" w:space="0" w:color="000000"/>
              <w:right w:val="single" w:sz="4" w:space="0" w:color="000000"/>
            </w:tcBorders>
          </w:tcPr>
          <w:p w14:paraId="080B9919" w14:textId="77777777" w:rsidR="00E73B4A" w:rsidRDefault="00E73B4A">
            <w:pPr>
              <w:pStyle w:val="TableText"/>
              <w:rPr>
                <w:sz w:val="16"/>
                <w:szCs w:val="16"/>
              </w:rPr>
            </w:pPr>
          </w:p>
        </w:tc>
        <w:tc>
          <w:tcPr>
            <w:tcW w:w="720" w:type="dxa"/>
            <w:tcBorders>
              <w:left w:val="single" w:sz="4" w:space="0" w:color="000000"/>
              <w:bottom w:val="single" w:sz="4" w:space="0" w:color="000000"/>
            </w:tcBorders>
          </w:tcPr>
          <w:p w14:paraId="3FFD0396" w14:textId="77777777" w:rsidR="00E73B4A" w:rsidRDefault="00E73B4A">
            <w:pPr>
              <w:pStyle w:val="TableText"/>
              <w:rPr>
                <w:sz w:val="16"/>
                <w:szCs w:val="16"/>
              </w:rPr>
            </w:pPr>
          </w:p>
        </w:tc>
        <w:tc>
          <w:tcPr>
            <w:tcW w:w="690" w:type="dxa"/>
            <w:tcBorders>
              <w:left w:val="single" w:sz="4" w:space="0" w:color="000000"/>
              <w:bottom w:val="single" w:sz="4" w:space="0" w:color="000000"/>
            </w:tcBorders>
          </w:tcPr>
          <w:p w14:paraId="687F7179" w14:textId="77777777" w:rsidR="00E73B4A" w:rsidRDefault="00E73B4A">
            <w:pPr>
              <w:pStyle w:val="TableText"/>
              <w:rPr>
                <w:sz w:val="16"/>
                <w:szCs w:val="16"/>
              </w:rPr>
            </w:pPr>
          </w:p>
        </w:tc>
        <w:tc>
          <w:tcPr>
            <w:tcW w:w="587" w:type="dxa"/>
            <w:tcBorders>
              <w:left w:val="single" w:sz="4" w:space="0" w:color="000000"/>
              <w:bottom w:val="single" w:sz="4" w:space="0" w:color="000000"/>
            </w:tcBorders>
          </w:tcPr>
          <w:p w14:paraId="7C3122F1" w14:textId="77777777" w:rsidR="00E73B4A" w:rsidRDefault="00E73B4A">
            <w:pPr>
              <w:pStyle w:val="TableText"/>
              <w:rPr>
                <w:sz w:val="16"/>
                <w:szCs w:val="16"/>
              </w:rPr>
            </w:pPr>
          </w:p>
        </w:tc>
        <w:tc>
          <w:tcPr>
            <w:tcW w:w="706" w:type="dxa"/>
            <w:tcBorders>
              <w:left w:val="single" w:sz="4" w:space="0" w:color="000000"/>
              <w:bottom w:val="single" w:sz="4" w:space="0" w:color="000000"/>
            </w:tcBorders>
          </w:tcPr>
          <w:p w14:paraId="04167EA7" w14:textId="77777777" w:rsidR="00E73B4A" w:rsidRDefault="00E73B4A">
            <w:pPr>
              <w:pStyle w:val="TableText"/>
              <w:rPr>
                <w:sz w:val="16"/>
                <w:szCs w:val="16"/>
              </w:rPr>
            </w:pPr>
          </w:p>
        </w:tc>
        <w:tc>
          <w:tcPr>
            <w:tcW w:w="709" w:type="dxa"/>
            <w:tcBorders>
              <w:left w:val="single" w:sz="4" w:space="0" w:color="000000"/>
              <w:bottom w:val="single" w:sz="4" w:space="0" w:color="000000"/>
            </w:tcBorders>
          </w:tcPr>
          <w:p w14:paraId="6E056CF6" w14:textId="77777777" w:rsidR="00E73B4A" w:rsidRDefault="00E73B4A">
            <w:pPr>
              <w:pStyle w:val="TableText"/>
              <w:rPr>
                <w:sz w:val="16"/>
                <w:szCs w:val="16"/>
              </w:rPr>
            </w:pPr>
          </w:p>
        </w:tc>
        <w:tc>
          <w:tcPr>
            <w:tcW w:w="570" w:type="dxa"/>
            <w:tcBorders>
              <w:left w:val="single" w:sz="4" w:space="0" w:color="000000"/>
              <w:bottom w:val="single" w:sz="4" w:space="0" w:color="000000"/>
            </w:tcBorders>
          </w:tcPr>
          <w:p w14:paraId="6131FE38" w14:textId="77777777" w:rsidR="00E73B4A" w:rsidRDefault="00E73B4A">
            <w:pPr>
              <w:pStyle w:val="TableText"/>
              <w:rPr>
                <w:sz w:val="16"/>
                <w:szCs w:val="16"/>
              </w:rPr>
            </w:pPr>
          </w:p>
        </w:tc>
        <w:tc>
          <w:tcPr>
            <w:tcW w:w="777" w:type="dxa"/>
            <w:tcBorders>
              <w:left w:val="single" w:sz="4" w:space="0" w:color="000000"/>
              <w:bottom w:val="single" w:sz="4" w:space="0" w:color="000000"/>
              <w:right w:val="single" w:sz="4" w:space="0" w:color="000000"/>
            </w:tcBorders>
          </w:tcPr>
          <w:p w14:paraId="55F296EA" w14:textId="77777777" w:rsidR="00E73B4A" w:rsidRDefault="00E73B4A">
            <w:pPr>
              <w:pStyle w:val="TableText"/>
              <w:rPr>
                <w:sz w:val="16"/>
                <w:szCs w:val="16"/>
              </w:rPr>
            </w:pPr>
          </w:p>
        </w:tc>
        <w:tc>
          <w:tcPr>
            <w:tcW w:w="700" w:type="dxa"/>
            <w:tcBorders>
              <w:top w:val="single" w:sz="4" w:space="0" w:color="000000"/>
              <w:left w:val="single" w:sz="4" w:space="0" w:color="000000"/>
              <w:bottom w:val="single" w:sz="4" w:space="0" w:color="000000"/>
              <w:right w:val="single" w:sz="4" w:space="0" w:color="000000"/>
            </w:tcBorders>
          </w:tcPr>
          <w:p w14:paraId="5694706A" w14:textId="77777777" w:rsidR="00E73B4A" w:rsidRDefault="00E73B4A">
            <w:pPr>
              <w:pStyle w:val="TableText"/>
              <w:rPr>
                <w:sz w:val="16"/>
                <w:szCs w:val="16"/>
              </w:rPr>
            </w:pPr>
          </w:p>
        </w:tc>
      </w:tr>
      <w:tr w:rsidR="00E73B4A" w14:paraId="6F653A48" w14:textId="77777777">
        <w:tc>
          <w:tcPr>
            <w:tcW w:w="974" w:type="dxa"/>
            <w:tcBorders>
              <w:left w:val="single" w:sz="4" w:space="0" w:color="000000"/>
              <w:bottom w:val="single" w:sz="4" w:space="0" w:color="000000"/>
            </w:tcBorders>
          </w:tcPr>
          <w:p w14:paraId="5A71DB35" w14:textId="77777777" w:rsidR="00E73B4A" w:rsidRDefault="00000000">
            <w:pPr>
              <w:pStyle w:val="TableEmphasis"/>
            </w:pPr>
            <w:r>
              <w:t>BA</w:t>
            </w:r>
          </w:p>
        </w:tc>
        <w:tc>
          <w:tcPr>
            <w:tcW w:w="678" w:type="dxa"/>
            <w:tcBorders>
              <w:left w:val="single" w:sz="4" w:space="0" w:color="000000"/>
              <w:bottom w:val="single" w:sz="4" w:space="0" w:color="000000"/>
            </w:tcBorders>
          </w:tcPr>
          <w:p w14:paraId="5CF37451" w14:textId="77777777" w:rsidR="00E73B4A" w:rsidRDefault="00000000">
            <w:pPr>
              <w:pStyle w:val="TableText"/>
            </w:pPr>
            <w:r>
              <w:rPr>
                <w:sz w:val="16"/>
                <w:szCs w:val="16"/>
              </w:rPr>
              <w:t>1.58 (.06)</w:t>
            </w:r>
          </w:p>
        </w:tc>
        <w:tc>
          <w:tcPr>
            <w:tcW w:w="690" w:type="dxa"/>
            <w:tcBorders>
              <w:left w:val="single" w:sz="4" w:space="0" w:color="000000"/>
              <w:bottom w:val="single" w:sz="4" w:space="0" w:color="000000"/>
              <w:right w:val="single" w:sz="4" w:space="0" w:color="000000"/>
            </w:tcBorders>
          </w:tcPr>
          <w:p w14:paraId="02C22F21" w14:textId="77777777" w:rsidR="00E73B4A" w:rsidRDefault="00000000">
            <w:pPr>
              <w:pStyle w:val="TableText"/>
            </w:pPr>
            <w:r>
              <w:rPr>
                <w:sz w:val="16"/>
                <w:szCs w:val="16"/>
              </w:rPr>
              <w:t>.93 (.77)</w:t>
            </w:r>
          </w:p>
        </w:tc>
        <w:tc>
          <w:tcPr>
            <w:tcW w:w="671" w:type="dxa"/>
            <w:tcBorders>
              <w:left w:val="single" w:sz="4" w:space="0" w:color="000000"/>
              <w:bottom w:val="single" w:sz="4" w:space="0" w:color="000000"/>
              <w:right w:val="single" w:sz="4" w:space="0" w:color="000000"/>
            </w:tcBorders>
          </w:tcPr>
          <w:p w14:paraId="6E96C772" w14:textId="77777777" w:rsidR="00E73B4A" w:rsidRDefault="00000000">
            <w:pPr>
              <w:pStyle w:val="TableText"/>
            </w:pPr>
            <w:r>
              <w:rPr>
                <w:sz w:val="16"/>
                <w:szCs w:val="16"/>
              </w:rPr>
              <w:t>.52 (.</w:t>
            </w:r>
            <w:proofErr w:type="gramStart"/>
            <w:r>
              <w:rPr>
                <w:sz w:val="16"/>
                <w:szCs w:val="16"/>
              </w:rPr>
              <w:t>01)*</w:t>
            </w:r>
            <w:proofErr w:type="gramEnd"/>
          </w:p>
        </w:tc>
        <w:tc>
          <w:tcPr>
            <w:tcW w:w="690" w:type="dxa"/>
            <w:tcBorders>
              <w:left w:val="single" w:sz="4" w:space="0" w:color="000000"/>
              <w:bottom w:val="single" w:sz="4" w:space="0" w:color="000000"/>
              <w:right w:val="single" w:sz="4" w:space="0" w:color="000000"/>
            </w:tcBorders>
          </w:tcPr>
          <w:p w14:paraId="296E650B" w14:textId="77777777" w:rsidR="00E73B4A" w:rsidRDefault="00000000">
            <w:pPr>
              <w:pStyle w:val="TableText"/>
            </w:pPr>
            <w:r>
              <w:rPr>
                <w:sz w:val="16"/>
                <w:szCs w:val="16"/>
              </w:rPr>
              <w:t>.78 (.32)</w:t>
            </w:r>
          </w:p>
        </w:tc>
        <w:tc>
          <w:tcPr>
            <w:tcW w:w="720" w:type="dxa"/>
            <w:tcBorders>
              <w:left w:val="single" w:sz="4" w:space="0" w:color="000000"/>
              <w:bottom w:val="single" w:sz="4" w:space="0" w:color="000000"/>
            </w:tcBorders>
          </w:tcPr>
          <w:p w14:paraId="0B270E5F" w14:textId="77777777" w:rsidR="00E73B4A" w:rsidRDefault="00000000">
            <w:pPr>
              <w:pStyle w:val="TableText"/>
            </w:pPr>
            <w:r>
              <w:rPr>
                <w:sz w:val="16"/>
                <w:szCs w:val="16"/>
              </w:rPr>
              <w:t>.87 (.63)</w:t>
            </w:r>
          </w:p>
        </w:tc>
        <w:tc>
          <w:tcPr>
            <w:tcW w:w="690" w:type="dxa"/>
            <w:tcBorders>
              <w:left w:val="single" w:sz="4" w:space="0" w:color="000000"/>
              <w:bottom w:val="single" w:sz="4" w:space="0" w:color="000000"/>
            </w:tcBorders>
          </w:tcPr>
          <w:p w14:paraId="745F0EE7" w14:textId="77777777" w:rsidR="00E73B4A" w:rsidRDefault="00000000">
            <w:pPr>
              <w:pStyle w:val="TableText"/>
            </w:pPr>
            <w:r>
              <w:rPr>
                <w:sz w:val="16"/>
                <w:szCs w:val="16"/>
              </w:rPr>
              <w:t>.30 (.</w:t>
            </w:r>
            <w:proofErr w:type="gramStart"/>
            <w:r>
              <w:rPr>
                <w:sz w:val="16"/>
                <w:szCs w:val="16"/>
              </w:rPr>
              <w:t>00)*</w:t>
            </w:r>
            <w:proofErr w:type="gramEnd"/>
            <w:r>
              <w:rPr>
                <w:sz w:val="16"/>
                <w:szCs w:val="16"/>
              </w:rPr>
              <w:t>**</w:t>
            </w:r>
          </w:p>
        </w:tc>
        <w:tc>
          <w:tcPr>
            <w:tcW w:w="587" w:type="dxa"/>
            <w:tcBorders>
              <w:left w:val="single" w:sz="4" w:space="0" w:color="000000"/>
              <w:bottom w:val="single" w:sz="4" w:space="0" w:color="000000"/>
            </w:tcBorders>
          </w:tcPr>
          <w:p w14:paraId="7DCB9D30" w14:textId="77777777" w:rsidR="00E73B4A" w:rsidRDefault="00000000">
            <w:pPr>
              <w:pStyle w:val="TableText"/>
            </w:pPr>
            <w:r>
              <w:rPr>
                <w:sz w:val="16"/>
                <w:szCs w:val="16"/>
              </w:rPr>
              <w:t>.38 (.13)</w:t>
            </w:r>
          </w:p>
        </w:tc>
        <w:tc>
          <w:tcPr>
            <w:tcW w:w="706" w:type="dxa"/>
            <w:tcBorders>
              <w:left w:val="single" w:sz="4" w:space="0" w:color="000000"/>
              <w:bottom w:val="single" w:sz="4" w:space="0" w:color="000000"/>
            </w:tcBorders>
          </w:tcPr>
          <w:p w14:paraId="075A4296" w14:textId="77777777" w:rsidR="00E73B4A" w:rsidRDefault="00000000">
            <w:pPr>
              <w:pStyle w:val="TableText"/>
            </w:pPr>
            <w:r>
              <w:rPr>
                <w:sz w:val="16"/>
                <w:szCs w:val="16"/>
              </w:rPr>
              <w:t>.39 (.13)</w:t>
            </w:r>
          </w:p>
        </w:tc>
        <w:tc>
          <w:tcPr>
            <w:tcW w:w="709" w:type="dxa"/>
            <w:tcBorders>
              <w:left w:val="single" w:sz="4" w:space="0" w:color="000000"/>
              <w:bottom w:val="single" w:sz="4" w:space="0" w:color="000000"/>
            </w:tcBorders>
          </w:tcPr>
          <w:p w14:paraId="2CB9299E" w14:textId="77777777" w:rsidR="00E73B4A" w:rsidRDefault="00000000">
            <w:pPr>
              <w:pStyle w:val="TableText"/>
            </w:pPr>
            <w:r>
              <w:rPr>
                <w:sz w:val="16"/>
                <w:szCs w:val="16"/>
              </w:rPr>
              <w:t>.42 (.16)</w:t>
            </w:r>
          </w:p>
        </w:tc>
        <w:tc>
          <w:tcPr>
            <w:tcW w:w="570" w:type="dxa"/>
            <w:tcBorders>
              <w:left w:val="single" w:sz="4" w:space="0" w:color="000000"/>
              <w:bottom w:val="single" w:sz="4" w:space="0" w:color="000000"/>
            </w:tcBorders>
          </w:tcPr>
          <w:p w14:paraId="567E63EB" w14:textId="77777777" w:rsidR="00E73B4A" w:rsidRDefault="00000000">
            <w:pPr>
              <w:pStyle w:val="TableText"/>
            </w:pPr>
            <w:r>
              <w:rPr>
                <w:sz w:val="16"/>
                <w:szCs w:val="16"/>
              </w:rPr>
              <w:t>1.09 (.77)</w:t>
            </w:r>
          </w:p>
        </w:tc>
        <w:tc>
          <w:tcPr>
            <w:tcW w:w="777" w:type="dxa"/>
            <w:tcBorders>
              <w:left w:val="single" w:sz="4" w:space="0" w:color="000000"/>
              <w:bottom w:val="single" w:sz="4" w:space="0" w:color="000000"/>
              <w:right w:val="single" w:sz="4" w:space="0" w:color="000000"/>
            </w:tcBorders>
          </w:tcPr>
          <w:p w14:paraId="49CC2030" w14:textId="77777777" w:rsidR="00E73B4A" w:rsidRDefault="00000000">
            <w:pPr>
              <w:pStyle w:val="TableText"/>
            </w:pPr>
            <w:r>
              <w:rPr>
                <w:rFonts w:eastAsia="Arial"/>
                <w:color w:val="000000"/>
                <w:sz w:val="16"/>
                <w:szCs w:val="16"/>
                <w:shd w:val="clear" w:color="auto" w:fill="FFFFFF"/>
                <w:lang w:eastAsia="zh-CN" w:bidi="hi-IN"/>
              </w:rPr>
              <w:t xml:space="preserve">.72 </w:t>
            </w:r>
            <w:r>
              <w:rPr>
                <w:rFonts w:eastAsia="Arial"/>
                <w:sz w:val="16"/>
                <w:szCs w:val="16"/>
                <w:shd w:val="clear" w:color="auto" w:fill="FFFFFF"/>
              </w:rPr>
              <w:br/>
              <w:t>(.24)</w:t>
            </w:r>
          </w:p>
        </w:tc>
        <w:tc>
          <w:tcPr>
            <w:tcW w:w="700" w:type="dxa"/>
            <w:tcBorders>
              <w:top w:val="single" w:sz="4" w:space="0" w:color="000000"/>
              <w:left w:val="single" w:sz="4" w:space="0" w:color="000000"/>
              <w:bottom w:val="single" w:sz="4" w:space="0" w:color="000000"/>
              <w:right w:val="single" w:sz="4" w:space="0" w:color="000000"/>
            </w:tcBorders>
          </w:tcPr>
          <w:p w14:paraId="36FBA7E8" w14:textId="77777777" w:rsidR="00E73B4A" w:rsidRDefault="00000000">
            <w:pPr>
              <w:pStyle w:val="TableText"/>
            </w:pPr>
            <w:r>
              <w:rPr>
                <w:sz w:val="16"/>
                <w:szCs w:val="16"/>
              </w:rPr>
              <w:t>.71 (.20)</w:t>
            </w:r>
          </w:p>
        </w:tc>
      </w:tr>
    </w:tbl>
    <w:p w14:paraId="1979D58B" w14:textId="77777777" w:rsidR="00E73B4A" w:rsidRDefault="00000000">
      <w:r>
        <w:rPr>
          <w:rFonts w:eastAsia="Arial"/>
          <w:i/>
          <w:lang w:eastAsia="zh-CN" w:bidi="hi-IN"/>
        </w:rPr>
        <w:t>Notes</w:t>
      </w:r>
      <w:r>
        <w:rPr>
          <w:rFonts w:eastAsia="Arial"/>
          <w:lang w:eastAsia="zh-CN" w:bidi="hi-IN"/>
        </w:rPr>
        <w:t xml:space="preserve">: OR = odds ratio; </w:t>
      </w:r>
      <w:r>
        <w:rPr>
          <w:rFonts w:eastAsia="Arial"/>
          <w:i/>
          <w:color w:val="000000"/>
          <w:shd w:val="clear" w:color="auto" w:fill="FFFFFF"/>
          <w:lang w:eastAsia="zh-CN" w:bidi="hi-IN"/>
        </w:rPr>
        <w:t xml:space="preserve">*p </w:t>
      </w:r>
      <w:r>
        <w:rPr>
          <w:rFonts w:eastAsia="Arial"/>
          <w:color w:val="000000"/>
          <w:shd w:val="clear" w:color="auto" w:fill="FFFFFF"/>
          <w:lang w:eastAsia="zh-CN" w:bidi="hi-IN"/>
        </w:rPr>
        <w:t>&lt; .05</w:t>
      </w:r>
      <w:r>
        <w:rPr>
          <w:rFonts w:eastAsia="Arial"/>
          <w:i/>
          <w:color w:val="000000"/>
          <w:shd w:val="clear" w:color="auto" w:fill="FFFFFF"/>
          <w:lang w:eastAsia="zh-CN" w:bidi="hi-IN"/>
        </w:rPr>
        <w:t xml:space="preserve">**; p </w:t>
      </w:r>
      <w:r>
        <w:rPr>
          <w:rFonts w:eastAsia="Arial"/>
          <w:color w:val="000000"/>
          <w:shd w:val="clear" w:color="auto" w:fill="FFFFFF"/>
          <w:lang w:eastAsia="zh-CN" w:bidi="hi-IN"/>
        </w:rPr>
        <w:t>&lt; .01</w:t>
      </w:r>
      <w:r>
        <w:rPr>
          <w:rFonts w:eastAsia="Arial"/>
          <w:i/>
          <w:color w:val="000000"/>
          <w:shd w:val="clear" w:color="auto" w:fill="FFFFFF"/>
          <w:lang w:eastAsia="zh-CN" w:bidi="hi-IN"/>
        </w:rPr>
        <w:t xml:space="preserve">; ***p </w:t>
      </w:r>
      <w:r>
        <w:rPr>
          <w:rFonts w:eastAsia="Arial"/>
          <w:color w:val="000000"/>
          <w:shd w:val="clear" w:color="auto" w:fill="FFFFFF"/>
          <w:lang w:eastAsia="zh-CN" w:bidi="hi-IN"/>
        </w:rPr>
        <w:t>&lt; .001</w:t>
      </w:r>
      <w:r>
        <w:rPr>
          <w:rFonts w:eastAsia="Arial"/>
          <w:i/>
          <w:color w:val="000000"/>
          <w:shd w:val="clear" w:color="auto" w:fill="FFFFFF"/>
          <w:lang w:eastAsia="zh-CN" w:bidi="hi-IN"/>
        </w:rPr>
        <w:t xml:space="preserve">; </w:t>
      </w:r>
      <w:r>
        <w:rPr>
          <w:rFonts w:eastAsia="Arial"/>
          <w:b/>
          <w:color w:val="000000"/>
          <w:shd w:val="clear" w:color="auto" w:fill="FFFFFF"/>
          <w:lang w:eastAsia="zh-CN" w:bidi="hi-IN"/>
        </w:rPr>
        <w:t>Model 1</w:t>
      </w:r>
      <w:r>
        <w:rPr>
          <w:rFonts w:eastAsia="Arial"/>
          <w:color w:val="000000"/>
          <w:shd w:val="clear" w:color="auto" w:fill="FFFFFF"/>
          <w:lang w:eastAsia="zh-CN" w:bidi="hi-IN"/>
        </w:rPr>
        <w:t>:</w:t>
      </w:r>
      <w:r>
        <w:rPr>
          <w:rFonts w:eastAsia="Arial"/>
          <w:i/>
          <w:color w:val="000000"/>
          <w:shd w:val="clear" w:color="auto" w:fill="FFFFFF"/>
          <w:lang w:eastAsia="zh-CN" w:bidi="hi-IN"/>
        </w:rPr>
        <w:t xml:space="preserve"> </w:t>
      </w:r>
      <w:r>
        <w:rPr>
          <w:rFonts w:eastAsia="Arial"/>
          <w:color w:val="000000"/>
          <w:shd w:val="clear" w:color="auto" w:fill="FFFFFF"/>
          <w:lang w:eastAsia="zh-CN" w:bidi="hi-IN"/>
        </w:rPr>
        <w:t xml:space="preserve">Nagelkerke </w:t>
      </w:r>
      <w:r>
        <w:rPr>
          <w:rFonts w:eastAsia="Arial"/>
          <w:i/>
          <w:color w:val="000000"/>
          <w:shd w:val="clear" w:color="auto" w:fill="FFFFFF"/>
          <w:lang w:eastAsia="zh-CN" w:bidi="hi-IN"/>
        </w:rPr>
        <w:t>R</w:t>
      </w:r>
      <w:r>
        <w:rPr>
          <w:rFonts w:eastAsia="Arial"/>
          <w:color w:val="000000"/>
          <w:shd w:val="clear" w:color="auto" w:fill="FFFFFF"/>
          <w:vertAlign w:val="superscript"/>
          <w:lang w:eastAsia="zh-CN" w:bidi="hi-IN"/>
        </w:rPr>
        <w:t>2</w:t>
      </w:r>
      <w:r>
        <w:rPr>
          <w:rFonts w:eastAsia="Arial"/>
          <w:color w:val="000000"/>
          <w:shd w:val="clear" w:color="auto" w:fill="FFFFFF"/>
          <w:lang w:eastAsia="zh-CN" w:bidi="hi-IN"/>
        </w:rPr>
        <w:t xml:space="preserve"> = .16</w:t>
      </w:r>
      <w:r>
        <w:rPr>
          <w:rFonts w:eastAsia="Arial"/>
          <w:i/>
          <w:color w:val="000000"/>
          <w:shd w:val="clear" w:color="auto" w:fill="FFFFFF"/>
          <w:lang w:eastAsia="zh-CN" w:bidi="hi-IN"/>
        </w:rPr>
        <w:t xml:space="preserve">; </w:t>
      </w:r>
      <w:r>
        <w:rPr>
          <w:rFonts w:eastAsia="Arial"/>
          <w:b/>
          <w:color w:val="000000"/>
          <w:shd w:val="clear" w:color="auto" w:fill="FFFFFF"/>
          <w:lang w:eastAsia="zh-CN" w:bidi="hi-IN"/>
        </w:rPr>
        <w:t>Model 2</w:t>
      </w:r>
      <w:r>
        <w:rPr>
          <w:rFonts w:eastAsia="Arial"/>
          <w:i/>
          <w:color w:val="000000"/>
          <w:shd w:val="clear" w:color="auto" w:fill="FFFFFF"/>
          <w:lang w:eastAsia="zh-CN" w:bidi="hi-IN"/>
        </w:rPr>
        <w:t xml:space="preserve">: </w:t>
      </w:r>
      <w:r>
        <w:rPr>
          <w:rFonts w:eastAsia="Arial"/>
          <w:color w:val="000000"/>
          <w:shd w:val="clear" w:color="auto" w:fill="FFFFFF"/>
          <w:lang w:eastAsia="zh-CN" w:bidi="hi-IN"/>
        </w:rPr>
        <w:t xml:space="preserve">Nagelkerke </w:t>
      </w:r>
      <w:r>
        <w:rPr>
          <w:rFonts w:eastAsia="Arial"/>
          <w:i/>
          <w:color w:val="000000"/>
          <w:shd w:val="clear" w:color="auto" w:fill="FFFFFF"/>
          <w:lang w:eastAsia="zh-CN" w:bidi="hi-IN"/>
        </w:rPr>
        <w:t>R</w:t>
      </w:r>
      <w:r>
        <w:rPr>
          <w:rFonts w:eastAsia="Arial"/>
          <w:color w:val="000000"/>
          <w:shd w:val="clear" w:color="auto" w:fill="FFFFFF"/>
          <w:vertAlign w:val="superscript"/>
          <w:lang w:eastAsia="zh-CN" w:bidi="hi-IN"/>
        </w:rPr>
        <w:t>2</w:t>
      </w:r>
      <w:r>
        <w:rPr>
          <w:rFonts w:eastAsia="Arial"/>
          <w:color w:val="000000"/>
          <w:shd w:val="clear" w:color="auto" w:fill="FFFFFF"/>
          <w:lang w:eastAsia="zh-CN" w:bidi="hi-IN"/>
        </w:rPr>
        <w:t xml:space="preserve"> = .16;</w:t>
      </w:r>
      <w:r>
        <w:rPr>
          <w:rFonts w:eastAsia="Arial"/>
          <w:i/>
          <w:color w:val="000000"/>
          <w:shd w:val="clear" w:color="auto" w:fill="FFFFFF"/>
          <w:lang w:eastAsia="zh-CN" w:bidi="hi-IN"/>
        </w:rPr>
        <w:t xml:space="preserve"> </w:t>
      </w:r>
      <w:r>
        <w:rPr>
          <w:rFonts w:eastAsia="Arial"/>
          <w:b/>
          <w:color w:val="000000"/>
          <w:shd w:val="clear" w:color="auto" w:fill="FFFFFF"/>
          <w:lang w:eastAsia="zh-CN" w:bidi="hi-IN"/>
        </w:rPr>
        <w:t>Model 3</w:t>
      </w:r>
      <w:r>
        <w:rPr>
          <w:rFonts w:eastAsia="Arial"/>
          <w:i/>
          <w:color w:val="000000"/>
          <w:shd w:val="clear" w:color="auto" w:fill="FFFFFF"/>
          <w:lang w:eastAsia="zh-CN" w:bidi="hi-IN"/>
        </w:rPr>
        <w:t xml:space="preserve">: </w:t>
      </w:r>
      <w:r>
        <w:rPr>
          <w:rFonts w:eastAsia="Arial"/>
          <w:color w:val="000000"/>
          <w:shd w:val="clear" w:color="auto" w:fill="FFFFFF"/>
          <w:lang w:eastAsia="zh-CN" w:bidi="hi-IN"/>
        </w:rPr>
        <w:t xml:space="preserve">Nagelkerke </w:t>
      </w:r>
      <w:r>
        <w:rPr>
          <w:rFonts w:eastAsia="Arial"/>
          <w:i/>
          <w:color w:val="000000"/>
          <w:shd w:val="clear" w:color="auto" w:fill="FFFFFF"/>
          <w:lang w:eastAsia="zh-CN" w:bidi="hi-IN"/>
        </w:rPr>
        <w:t>R</w:t>
      </w:r>
      <w:r>
        <w:rPr>
          <w:rFonts w:eastAsia="Arial"/>
          <w:color w:val="000000"/>
          <w:shd w:val="clear" w:color="auto" w:fill="FFFFFF"/>
          <w:vertAlign w:val="superscript"/>
          <w:lang w:eastAsia="zh-CN" w:bidi="hi-IN"/>
        </w:rPr>
        <w:t>2</w:t>
      </w:r>
      <w:r>
        <w:rPr>
          <w:rFonts w:eastAsia="Arial"/>
          <w:color w:val="000000"/>
          <w:shd w:val="clear" w:color="auto" w:fill="FFFFFF"/>
          <w:lang w:eastAsia="zh-CN" w:bidi="hi-IN"/>
        </w:rPr>
        <w:t xml:space="preserve"> = .</w:t>
      </w:r>
      <w:proofErr w:type="gramStart"/>
      <w:r>
        <w:rPr>
          <w:rFonts w:eastAsia="Arial"/>
          <w:color w:val="000000"/>
          <w:shd w:val="clear" w:color="auto" w:fill="FFFFFF"/>
          <w:lang w:eastAsia="zh-CN" w:bidi="hi-IN"/>
        </w:rPr>
        <w:t>15 ;</w:t>
      </w:r>
      <w:proofErr w:type="gramEnd"/>
      <w:r>
        <w:rPr>
          <w:rFonts w:eastAsia="Arial"/>
          <w:i/>
          <w:color w:val="000000"/>
          <w:shd w:val="clear" w:color="auto" w:fill="FFFFFF"/>
          <w:lang w:eastAsia="zh-CN" w:bidi="hi-IN"/>
        </w:rPr>
        <w:t xml:space="preserve"> </w:t>
      </w:r>
      <w:r>
        <w:rPr>
          <w:rFonts w:eastAsia="Arial"/>
          <w:b/>
          <w:color w:val="000000"/>
          <w:shd w:val="clear" w:color="auto" w:fill="FFFFFF"/>
          <w:lang w:eastAsia="zh-CN" w:bidi="hi-IN"/>
        </w:rPr>
        <w:t>Model 4</w:t>
      </w:r>
      <w:r>
        <w:rPr>
          <w:rFonts w:eastAsia="Arial"/>
          <w:i/>
          <w:color w:val="000000"/>
          <w:shd w:val="clear" w:color="auto" w:fill="FFFFFF"/>
          <w:lang w:eastAsia="zh-CN" w:bidi="hi-IN"/>
        </w:rPr>
        <w:t xml:space="preserve">: </w:t>
      </w:r>
      <w:r>
        <w:rPr>
          <w:rFonts w:eastAsia="Arial"/>
          <w:color w:val="000000"/>
          <w:shd w:val="clear" w:color="auto" w:fill="FFFFFF"/>
          <w:lang w:eastAsia="zh-CN" w:bidi="hi-IN"/>
        </w:rPr>
        <w:t xml:space="preserve">Nagelkerke </w:t>
      </w:r>
      <w:r>
        <w:rPr>
          <w:rFonts w:eastAsia="Arial"/>
          <w:i/>
          <w:color w:val="000000"/>
          <w:shd w:val="clear" w:color="auto" w:fill="FFFFFF"/>
          <w:lang w:eastAsia="zh-CN" w:bidi="hi-IN"/>
        </w:rPr>
        <w:t>R</w:t>
      </w:r>
      <w:r>
        <w:rPr>
          <w:rFonts w:eastAsia="Arial"/>
          <w:color w:val="000000"/>
          <w:shd w:val="clear" w:color="auto" w:fill="FFFFFF"/>
          <w:vertAlign w:val="superscript"/>
          <w:lang w:eastAsia="zh-CN" w:bidi="hi-IN"/>
        </w:rPr>
        <w:t>2</w:t>
      </w:r>
      <w:r>
        <w:rPr>
          <w:rFonts w:eastAsia="Arial"/>
          <w:color w:val="000000"/>
          <w:shd w:val="clear" w:color="auto" w:fill="FFFFFF"/>
          <w:lang w:eastAsia="zh-CN" w:bidi="hi-IN"/>
        </w:rPr>
        <w:t xml:space="preserve"> = .06</w:t>
      </w:r>
      <w:r>
        <w:rPr>
          <w:rFonts w:eastAsia="Arial"/>
          <w:shd w:val="clear" w:color="auto" w:fill="FFFFFF"/>
        </w:rPr>
        <w:t>.</w:t>
      </w:r>
    </w:p>
    <w:p w14:paraId="7201F2DC" w14:textId="77777777" w:rsidR="00E73B4A" w:rsidRDefault="00000000">
      <w:pPr>
        <w:pStyle w:val="Heading2"/>
      </w:pPr>
      <w:r>
        <w:t>Type of Education as an Influencing Factor</w:t>
      </w:r>
    </w:p>
    <w:p w14:paraId="4FCED90F" w14:textId="77777777" w:rsidR="00E73B4A" w:rsidRDefault="00000000">
      <w:r>
        <w:t>Full-time students demonstrate a more extensive awareness of AI compared to correspondence students. According to Model 1 (Table 2), when controlling for other variables, full-time students were more likely to report exposure to AI across multiple categories: approximately one-and-a-half times more likely in one area (OR = 1.61), more than four times more likely in two areas (OR = 4.10), and over eight-and-a-half times more likely in three or more areas (OR = 8.61).</w:t>
      </w:r>
    </w:p>
    <w:p w14:paraId="4D69E6F2" w14:textId="77777777" w:rsidR="00E73B4A" w:rsidRDefault="00000000">
      <w:r>
        <w:rPr>
          <w:rFonts w:eastAsia="Arial"/>
        </w:rPr>
        <w:lastRenderedPageBreak/>
        <w:t xml:space="preserve">Differences in sources of AI-related information are presented in Figure 1. Full-time students significantly more often receive information about AI from fellow students (χ² = 119.82, </w:t>
      </w:r>
      <w:proofErr w:type="spellStart"/>
      <w:r>
        <w:rPr>
          <w:rFonts w:eastAsia="Arial"/>
        </w:rPr>
        <w:t>df</w:t>
      </w:r>
      <w:proofErr w:type="spellEnd"/>
      <w:r>
        <w:rPr>
          <w:rFonts w:eastAsia="Arial"/>
        </w:rPr>
        <w:t xml:space="preserve"> = 1, </w:t>
      </w:r>
      <w:r>
        <w:rPr>
          <w:rFonts w:eastAsia="Arial"/>
          <w:i/>
          <w:iCs/>
        </w:rPr>
        <w:t>p</w:t>
      </w:r>
      <w:r>
        <w:rPr>
          <w:rFonts w:eastAsia="Arial"/>
        </w:rPr>
        <w:t xml:space="preserve"> &lt; .001) and university or secondary school courses (χ² = 100.73, </w:t>
      </w:r>
      <w:proofErr w:type="spellStart"/>
      <w:r>
        <w:rPr>
          <w:rFonts w:eastAsia="Arial"/>
        </w:rPr>
        <w:t>df</w:t>
      </w:r>
      <w:proofErr w:type="spellEnd"/>
      <w:r>
        <w:rPr>
          <w:rFonts w:eastAsia="Arial"/>
        </w:rPr>
        <w:t xml:space="preserve"> = 1, </w:t>
      </w:r>
      <w:r>
        <w:rPr>
          <w:rFonts w:eastAsia="Arial"/>
          <w:i/>
          <w:shd w:val="clear" w:color="auto" w:fill="FFFFFF"/>
        </w:rPr>
        <w:t>p</w:t>
      </w:r>
      <w:r>
        <w:rPr>
          <w:rFonts w:eastAsia="Arial"/>
        </w:rPr>
        <w:t xml:space="preserve"> &lt; .001). Conversely, reliance on scientific articles and other learning resources showed no significant difference between the two groups, suggesting that peer interactions and structured educational settings primarily account for the higher AI awareness observed among full-time students.</w:t>
      </w:r>
    </w:p>
    <w:p w14:paraId="72CDAB3A" w14:textId="77777777" w:rsidR="00E73B4A" w:rsidRDefault="00000000">
      <w:pPr>
        <w:pStyle w:val="FigureNumber"/>
      </w:pPr>
      <w:r>
        <w:t>Figure 1</w:t>
      </w:r>
    </w:p>
    <w:p w14:paraId="572EBDB0" w14:textId="77777777" w:rsidR="00E73B4A" w:rsidRDefault="00000000">
      <w:pPr>
        <w:pStyle w:val="FigureTitle"/>
      </w:pPr>
      <w:r>
        <w:t xml:space="preserve">Correlation Between Each Information Area and the Type of Education </w:t>
      </w:r>
    </w:p>
    <w:p w14:paraId="372FFF40" w14:textId="77777777" w:rsidR="00E73B4A" w:rsidRDefault="00000000">
      <w:pPr>
        <w:pStyle w:val="normal11"/>
        <w:spacing w:before="120" w:after="0"/>
        <w:rPr>
          <w:rFonts w:ascii="Arial" w:eastAsia="Arial" w:hAnsi="Arial" w:cs="Arial"/>
          <w:sz w:val="22"/>
          <w:szCs w:val="22"/>
        </w:rPr>
      </w:pPr>
      <w:r>
        <w:rPr>
          <w:rFonts w:ascii="Arial" w:eastAsia="Arial" w:hAnsi="Arial" w:cs="Arial"/>
          <w:noProof/>
          <w:sz w:val="22"/>
          <w:szCs w:val="22"/>
        </w:rPr>
        <w:drawing>
          <wp:anchor distT="0" distB="0" distL="0" distR="0" simplePos="0" relativeHeight="7" behindDoc="0" locked="0" layoutInCell="0" allowOverlap="1" wp14:anchorId="4BFB9EEE" wp14:editId="0F0CED86">
            <wp:simplePos x="0" y="0"/>
            <wp:positionH relativeFrom="column">
              <wp:posOffset>559435</wp:posOffset>
            </wp:positionH>
            <wp:positionV relativeFrom="paragraph">
              <wp:posOffset>635</wp:posOffset>
            </wp:positionV>
            <wp:extent cx="4824730" cy="2212975"/>
            <wp:effectExtent l="0" t="0" r="0" b="0"/>
            <wp:wrapSquare wrapText="bothSides"/>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a:picLocks noChangeAspect="1" noChangeArrowheads="1"/>
                    </pic:cNvPicPr>
                  </pic:nvPicPr>
                  <pic:blipFill>
                    <a:blip r:embed="rId9"/>
                    <a:stretch>
                      <a:fillRect/>
                    </a:stretch>
                  </pic:blipFill>
                  <pic:spPr bwMode="auto">
                    <a:xfrm>
                      <a:off x="0" y="0"/>
                      <a:ext cx="4824730" cy="2212975"/>
                    </a:xfrm>
                    <a:prstGeom prst="rect">
                      <a:avLst/>
                    </a:prstGeom>
                    <a:noFill/>
                  </pic:spPr>
                </pic:pic>
              </a:graphicData>
            </a:graphic>
          </wp:anchor>
        </w:drawing>
      </w:r>
    </w:p>
    <w:p w14:paraId="47600CD2" w14:textId="77777777" w:rsidR="00E73B4A" w:rsidRDefault="00E73B4A">
      <w:pPr>
        <w:pStyle w:val="normal11"/>
        <w:spacing w:before="120" w:after="0"/>
        <w:rPr>
          <w:rFonts w:ascii="Arial" w:eastAsia="Arial" w:hAnsi="Arial" w:cs="Arial"/>
          <w:sz w:val="22"/>
          <w:szCs w:val="22"/>
        </w:rPr>
      </w:pPr>
    </w:p>
    <w:p w14:paraId="4AD8B492" w14:textId="77777777" w:rsidR="00E73B4A" w:rsidRDefault="00E73B4A">
      <w:pPr>
        <w:pStyle w:val="normal11"/>
        <w:rPr>
          <w:rFonts w:ascii="Arial" w:eastAsia="Arial" w:hAnsi="Arial" w:cs="Arial"/>
          <w:sz w:val="22"/>
          <w:szCs w:val="22"/>
        </w:rPr>
      </w:pPr>
    </w:p>
    <w:p w14:paraId="76942E89" w14:textId="77777777" w:rsidR="00E73B4A" w:rsidRDefault="00E73B4A">
      <w:pPr>
        <w:pStyle w:val="normal11"/>
        <w:rPr>
          <w:rFonts w:ascii="Arial" w:eastAsia="Arial" w:hAnsi="Arial" w:cs="Arial"/>
          <w:sz w:val="22"/>
          <w:szCs w:val="22"/>
        </w:rPr>
      </w:pPr>
    </w:p>
    <w:p w14:paraId="2DCA3462" w14:textId="77777777" w:rsidR="00E73B4A" w:rsidRDefault="00E73B4A">
      <w:pPr>
        <w:pStyle w:val="normal11"/>
        <w:rPr>
          <w:rFonts w:ascii="Arial" w:eastAsia="Arial" w:hAnsi="Arial" w:cs="Arial"/>
          <w:sz w:val="22"/>
          <w:szCs w:val="22"/>
        </w:rPr>
      </w:pPr>
    </w:p>
    <w:p w14:paraId="41485BC2" w14:textId="77777777" w:rsidR="00E73B4A" w:rsidRDefault="00E73B4A">
      <w:pPr>
        <w:pStyle w:val="normal11"/>
        <w:rPr>
          <w:rFonts w:ascii="Arial" w:eastAsia="Arial" w:hAnsi="Arial" w:cs="Arial"/>
          <w:sz w:val="22"/>
          <w:szCs w:val="22"/>
        </w:rPr>
      </w:pPr>
    </w:p>
    <w:p w14:paraId="0FF4F83F" w14:textId="77777777" w:rsidR="00E73B4A" w:rsidRDefault="00E73B4A">
      <w:pPr>
        <w:pStyle w:val="normal11"/>
        <w:rPr>
          <w:rFonts w:ascii="Arial" w:eastAsia="Arial" w:hAnsi="Arial" w:cs="Arial"/>
          <w:sz w:val="22"/>
          <w:szCs w:val="22"/>
        </w:rPr>
      </w:pPr>
    </w:p>
    <w:p w14:paraId="43E44966" w14:textId="77777777" w:rsidR="00E73B4A" w:rsidRDefault="00E73B4A">
      <w:pPr>
        <w:pStyle w:val="normal11"/>
        <w:rPr>
          <w:rFonts w:ascii="Arial" w:eastAsia="Arial" w:hAnsi="Arial" w:cs="Arial"/>
          <w:sz w:val="22"/>
          <w:szCs w:val="22"/>
        </w:rPr>
      </w:pPr>
    </w:p>
    <w:p w14:paraId="27E0B6F5" w14:textId="77777777" w:rsidR="00E73B4A" w:rsidRDefault="00E73B4A">
      <w:pPr>
        <w:pStyle w:val="normal11"/>
        <w:rPr>
          <w:rFonts w:ascii="Arial" w:eastAsia="Arial" w:hAnsi="Arial" w:cs="Arial"/>
          <w:sz w:val="22"/>
          <w:szCs w:val="22"/>
        </w:rPr>
      </w:pPr>
    </w:p>
    <w:p w14:paraId="72D793DE" w14:textId="77777777" w:rsidR="00E73B4A" w:rsidRDefault="00000000">
      <w:r>
        <w:rPr>
          <w:rFonts w:eastAsia="Times New Roman" w:cs="Calibri Light"/>
          <w:lang w:eastAsia="en-GB"/>
        </w:rPr>
        <w:t>Model 2 (Table 2) further indicates that full-time students tend to utilize AI tools more</w:t>
      </w:r>
      <w:r>
        <w:rPr>
          <w:rFonts w:cs="Calibri Light"/>
          <w:lang w:val="hu-HU"/>
        </w:rPr>
        <w:t xml:space="preserve"> </w:t>
      </w:r>
      <w:r>
        <w:rPr>
          <w:rFonts w:cs="Calibri Light"/>
        </w:rPr>
        <w:t xml:space="preserve">extensively compared to their correspondence counterparts, although the differences in usage across various numbers of AI devices (one device OR = 1.84; two devices OR = 3.17; three or more devices OR = 3.50) were not statistically significant. Analysis of individual AI tools shows significant differences between the groups: full-time students more frequently use ChatGPT (χ² = 56.21, </w:t>
      </w:r>
      <w:proofErr w:type="spellStart"/>
      <w:r>
        <w:rPr>
          <w:rFonts w:cs="Calibri Light"/>
        </w:rPr>
        <w:t>df</w:t>
      </w:r>
      <w:proofErr w:type="spellEnd"/>
      <w:r>
        <w:rPr>
          <w:rFonts w:cs="Calibri Light"/>
        </w:rPr>
        <w:t xml:space="preserve"> = 1, </w:t>
      </w:r>
      <w:r>
        <w:rPr>
          <w:rFonts w:cs="Calibri Light"/>
          <w:i/>
          <w:iCs/>
        </w:rPr>
        <w:t>p</w:t>
      </w:r>
      <w:r>
        <w:rPr>
          <w:rFonts w:cs="Calibri Light"/>
        </w:rPr>
        <w:t xml:space="preserve"> &lt; .001), </w:t>
      </w:r>
      <w:proofErr w:type="spellStart"/>
      <w:r>
        <w:rPr>
          <w:rFonts w:cs="Calibri Light"/>
        </w:rPr>
        <w:t>DeepL</w:t>
      </w:r>
      <w:proofErr w:type="spellEnd"/>
      <w:r>
        <w:rPr>
          <w:rFonts w:cs="Calibri Light"/>
        </w:rPr>
        <w:t xml:space="preserve"> (χ² = 22.54, </w:t>
      </w:r>
      <w:proofErr w:type="spellStart"/>
      <w:r>
        <w:rPr>
          <w:rFonts w:cs="Calibri Light"/>
        </w:rPr>
        <w:t>df</w:t>
      </w:r>
      <w:proofErr w:type="spellEnd"/>
      <w:r>
        <w:rPr>
          <w:rFonts w:cs="Calibri Light"/>
        </w:rPr>
        <w:t xml:space="preserve"> = 1, </w:t>
      </w:r>
      <w:r>
        <w:rPr>
          <w:rFonts w:cs="Calibri Light"/>
          <w:i/>
          <w:iCs/>
        </w:rPr>
        <w:t>p</w:t>
      </w:r>
      <w:r>
        <w:rPr>
          <w:rFonts w:cs="Calibri Light"/>
        </w:rPr>
        <w:t xml:space="preserve"> &lt; .001), Grammarly (χ² = 36.09, </w:t>
      </w:r>
      <w:proofErr w:type="spellStart"/>
      <w:r>
        <w:rPr>
          <w:rFonts w:cs="Calibri Light"/>
        </w:rPr>
        <w:t>df</w:t>
      </w:r>
      <w:proofErr w:type="spellEnd"/>
      <w:r>
        <w:rPr>
          <w:rFonts w:cs="Calibri Light"/>
        </w:rPr>
        <w:t xml:space="preserve"> = 1, </w:t>
      </w:r>
      <w:r>
        <w:rPr>
          <w:rFonts w:cs="Calibri Light"/>
          <w:i/>
          <w:iCs/>
        </w:rPr>
        <w:t>p</w:t>
      </w:r>
      <w:r>
        <w:rPr>
          <w:rFonts w:cs="Calibri Light"/>
        </w:rPr>
        <w:t xml:space="preserve"> &lt; .001), Duolingo (χ² = 44.97, </w:t>
      </w:r>
      <w:proofErr w:type="spellStart"/>
      <w:r>
        <w:rPr>
          <w:rFonts w:cs="Calibri Light"/>
        </w:rPr>
        <w:t>df</w:t>
      </w:r>
      <w:proofErr w:type="spellEnd"/>
      <w:r>
        <w:rPr>
          <w:rFonts w:cs="Calibri Light"/>
        </w:rPr>
        <w:t xml:space="preserve"> = 1, </w:t>
      </w:r>
      <w:r>
        <w:rPr>
          <w:rFonts w:cs="Calibri Light"/>
          <w:i/>
          <w:iCs/>
        </w:rPr>
        <w:t>p</w:t>
      </w:r>
      <w:r>
        <w:rPr>
          <w:rFonts w:cs="Calibri Light"/>
        </w:rPr>
        <w:t xml:space="preserve"> &lt; .001), and Scholar AI (χ² = 9.27, </w:t>
      </w:r>
      <w:proofErr w:type="spellStart"/>
      <w:r>
        <w:rPr>
          <w:rFonts w:cs="Calibri Light"/>
        </w:rPr>
        <w:t>df</w:t>
      </w:r>
      <w:proofErr w:type="spellEnd"/>
      <w:r>
        <w:rPr>
          <w:rFonts w:cs="Calibri Light"/>
        </w:rPr>
        <w:t xml:space="preserve"> = 1, </w:t>
      </w:r>
      <w:r>
        <w:rPr>
          <w:rFonts w:cs="Calibri Light"/>
          <w:i/>
          <w:iCs/>
        </w:rPr>
        <w:t>p</w:t>
      </w:r>
      <w:r>
        <w:rPr>
          <w:rFonts w:cs="Calibri Light"/>
        </w:rPr>
        <w:t xml:space="preserve"> = .002). In contrast, correspondence students are significantly more likely to use Google Bard (χ² = 6.14, </w:t>
      </w:r>
      <w:proofErr w:type="spellStart"/>
      <w:r>
        <w:rPr>
          <w:rFonts w:cs="Calibri Light"/>
        </w:rPr>
        <w:t>df</w:t>
      </w:r>
      <w:proofErr w:type="spellEnd"/>
      <w:r>
        <w:rPr>
          <w:rFonts w:cs="Calibri Light"/>
        </w:rPr>
        <w:t xml:space="preserve"> = 1, </w:t>
      </w:r>
      <w:r>
        <w:rPr>
          <w:rFonts w:cs="Calibri Light"/>
          <w:i/>
          <w:iCs/>
        </w:rPr>
        <w:t>p</w:t>
      </w:r>
      <w:r>
        <w:rPr>
          <w:rFonts w:cs="Calibri Light"/>
        </w:rPr>
        <w:t xml:space="preserve"> = .013). No significant differences were observed for Bing Chat.</w:t>
      </w:r>
    </w:p>
    <w:p w14:paraId="535094B2" w14:textId="77777777" w:rsidR="00E73B4A" w:rsidRDefault="00000000">
      <w:r>
        <w:rPr>
          <w:rFonts w:eastAsia="NSimSun" w:cs="Lucida Sans"/>
          <w:lang w:eastAsia="zh-CN" w:bidi="hi-IN"/>
        </w:rPr>
        <w:t xml:space="preserve">Model 3 (Table 2) reveals that full-time students are approximately twice as likely as correspondence students to desire the use of AI across multiple educational areas compared to none (OR = 2.39 for areas 1-3; OR = 2.12 for areas 4-6). However, no significant difference emerges between the groups when considering preferences for using AI in seven or more areas. Interestingly, despite full-time students' apparent higher affinity for AI, Figure 2 shows that correspondence students expressed significantly greater interest in using AI in six of the nine educational applications surveyed. These applications include: collecting materials for seminar papers and reports (χ² = 9.20, </w:t>
      </w:r>
      <w:proofErr w:type="spellStart"/>
      <w:r>
        <w:rPr>
          <w:rFonts w:eastAsia="NSimSun" w:cs="Lucida Sans"/>
          <w:lang w:eastAsia="zh-CN" w:bidi="hi-IN"/>
        </w:rPr>
        <w:t>df</w:t>
      </w:r>
      <w:proofErr w:type="spellEnd"/>
      <w:r>
        <w:rPr>
          <w:rFonts w:eastAsia="NSimSun" w:cs="Lucida Sans"/>
          <w:lang w:eastAsia="zh-CN" w:bidi="hi-IN"/>
        </w:rPr>
        <w:t xml:space="preserve"> = 1, </w:t>
      </w:r>
      <w:r>
        <w:rPr>
          <w:rFonts w:cs="Calibri Light"/>
          <w:i/>
          <w:iCs/>
        </w:rPr>
        <w:t>p</w:t>
      </w:r>
      <w:r>
        <w:rPr>
          <w:rFonts w:eastAsia="NSimSun" w:cs="Lucida Sans"/>
          <w:lang w:eastAsia="zh-CN" w:bidi="hi-IN"/>
        </w:rPr>
        <w:t xml:space="preserve"> = .002), preparing seminar presentations and illustrative materials (χ² = 12.55, </w:t>
      </w:r>
      <w:proofErr w:type="spellStart"/>
      <w:r>
        <w:rPr>
          <w:rFonts w:eastAsia="NSimSun" w:cs="Lucida Sans"/>
          <w:lang w:eastAsia="zh-CN" w:bidi="hi-IN"/>
        </w:rPr>
        <w:t>df</w:t>
      </w:r>
      <w:proofErr w:type="spellEnd"/>
      <w:r>
        <w:rPr>
          <w:rFonts w:eastAsia="NSimSun" w:cs="Lucida Sans"/>
          <w:lang w:eastAsia="zh-CN" w:bidi="hi-IN"/>
        </w:rPr>
        <w:t xml:space="preserve"> = 1, </w:t>
      </w:r>
      <w:r>
        <w:rPr>
          <w:rFonts w:cs="Calibri Light"/>
          <w:i/>
          <w:iCs/>
        </w:rPr>
        <w:t>p</w:t>
      </w:r>
      <w:r>
        <w:rPr>
          <w:rFonts w:eastAsia="NSimSun" w:cs="Lucida Sans"/>
          <w:lang w:eastAsia="zh-CN" w:bidi="hi-IN"/>
        </w:rPr>
        <w:t xml:space="preserve"> &lt; .001), personalized interactive learning materials (χ² = 11.58, </w:t>
      </w:r>
      <w:proofErr w:type="spellStart"/>
      <w:r>
        <w:rPr>
          <w:rFonts w:eastAsia="NSimSun" w:cs="Lucida Sans"/>
          <w:lang w:eastAsia="zh-CN" w:bidi="hi-IN"/>
        </w:rPr>
        <w:t>df</w:t>
      </w:r>
      <w:proofErr w:type="spellEnd"/>
      <w:r>
        <w:rPr>
          <w:rFonts w:eastAsia="NSimSun" w:cs="Lucida Sans"/>
          <w:lang w:eastAsia="zh-CN" w:bidi="hi-IN"/>
        </w:rPr>
        <w:t xml:space="preserve"> = 1, </w:t>
      </w:r>
      <w:r>
        <w:rPr>
          <w:rFonts w:cs="Calibri Light"/>
          <w:i/>
          <w:iCs/>
        </w:rPr>
        <w:t>p</w:t>
      </w:r>
      <w:r>
        <w:rPr>
          <w:rFonts w:eastAsia="NSimSun" w:cs="Lucida Sans"/>
          <w:lang w:eastAsia="zh-CN" w:bidi="hi-IN"/>
        </w:rPr>
        <w:t xml:space="preserve"> &lt; .001), virtual teachers (χ² = 16.10, </w:t>
      </w:r>
      <w:proofErr w:type="spellStart"/>
      <w:r>
        <w:rPr>
          <w:rFonts w:eastAsia="NSimSun" w:cs="Lucida Sans"/>
          <w:lang w:eastAsia="zh-CN" w:bidi="hi-IN"/>
        </w:rPr>
        <w:t>df</w:t>
      </w:r>
      <w:proofErr w:type="spellEnd"/>
      <w:r>
        <w:rPr>
          <w:rFonts w:eastAsia="NSimSun" w:cs="Lucida Sans"/>
          <w:lang w:eastAsia="zh-CN" w:bidi="hi-IN"/>
        </w:rPr>
        <w:t xml:space="preserve"> = 1, </w:t>
      </w:r>
      <w:r>
        <w:rPr>
          <w:rFonts w:cs="Calibri Light"/>
          <w:i/>
          <w:iCs/>
        </w:rPr>
        <w:t>p</w:t>
      </w:r>
      <w:r>
        <w:rPr>
          <w:rFonts w:eastAsia="NSimSun" w:cs="Lucida Sans"/>
          <w:lang w:eastAsia="zh-CN" w:bidi="hi-IN"/>
        </w:rPr>
        <w:t xml:space="preserve"> &lt; .001), simulation teaching materials (χ² = 7.22, </w:t>
      </w:r>
      <w:proofErr w:type="spellStart"/>
      <w:r>
        <w:rPr>
          <w:rFonts w:eastAsia="NSimSun" w:cs="Lucida Sans"/>
          <w:lang w:eastAsia="zh-CN" w:bidi="hi-IN"/>
        </w:rPr>
        <w:t>df</w:t>
      </w:r>
      <w:proofErr w:type="spellEnd"/>
      <w:r>
        <w:rPr>
          <w:rFonts w:eastAsia="NSimSun" w:cs="Lucida Sans"/>
          <w:lang w:eastAsia="zh-CN" w:bidi="hi-IN"/>
        </w:rPr>
        <w:t xml:space="preserve"> = 1, </w:t>
      </w:r>
      <w:r>
        <w:rPr>
          <w:rFonts w:cs="Calibri Light"/>
          <w:i/>
          <w:iCs/>
        </w:rPr>
        <w:t>p</w:t>
      </w:r>
      <w:r>
        <w:rPr>
          <w:rFonts w:eastAsia="NSimSun" w:cs="Lucida Sans"/>
          <w:lang w:eastAsia="zh-CN" w:bidi="hi-IN"/>
        </w:rPr>
        <w:t xml:space="preserve"> = .007), and preparing dissertations and theses (χ² = 26.03, </w:t>
      </w:r>
      <w:proofErr w:type="spellStart"/>
      <w:r>
        <w:rPr>
          <w:rFonts w:eastAsia="NSimSun" w:cs="Lucida Sans"/>
          <w:lang w:eastAsia="zh-CN" w:bidi="hi-IN"/>
        </w:rPr>
        <w:t>df</w:t>
      </w:r>
      <w:proofErr w:type="spellEnd"/>
      <w:r>
        <w:rPr>
          <w:rFonts w:eastAsia="NSimSun" w:cs="Lucida Sans"/>
          <w:lang w:eastAsia="zh-CN" w:bidi="hi-IN"/>
        </w:rPr>
        <w:t xml:space="preserve"> = 1, </w:t>
      </w:r>
      <w:r>
        <w:rPr>
          <w:rFonts w:cs="Calibri Light"/>
          <w:i/>
          <w:iCs/>
        </w:rPr>
        <w:t>p</w:t>
      </w:r>
      <w:r>
        <w:rPr>
          <w:rFonts w:eastAsia="NSimSun" w:cs="Lucida Sans"/>
          <w:lang w:eastAsia="zh-CN" w:bidi="hi-IN"/>
        </w:rPr>
        <w:t xml:space="preserve"> &lt; .001). None of the educational applications listed were more prevalent among full-time students.</w:t>
      </w:r>
    </w:p>
    <w:p w14:paraId="556563D4" w14:textId="77777777" w:rsidR="00E73B4A" w:rsidRDefault="00E73B4A">
      <w:pPr>
        <w:pStyle w:val="normal11"/>
        <w:rPr>
          <w:rFonts w:ascii="Arial" w:hAnsi="Arial"/>
          <w:sz w:val="22"/>
          <w:szCs w:val="22"/>
        </w:rPr>
      </w:pPr>
    </w:p>
    <w:p w14:paraId="2DB39CD3" w14:textId="77777777" w:rsidR="00E73B4A" w:rsidRDefault="00000000">
      <w:pPr>
        <w:pStyle w:val="FigureNumber"/>
      </w:pPr>
      <w:r>
        <w:rPr>
          <w:rFonts w:eastAsia="Arial"/>
          <w:color w:val="000000"/>
          <w:shd w:val="clear" w:color="auto" w:fill="FFFFFF"/>
          <w:lang w:eastAsia="zh-CN" w:bidi="hi-IN"/>
        </w:rPr>
        <w:lastRenderedPageBreak/>
        <w:t xml:space="preserve">Figure </w:t>
      </w:r>
      <w:r>
        <w:rPr>
          <w:rFonts w:eastAsia="Arial"/>
          <w:shd w:val="clear" w:color="auto" w:fill="FFFFFF"/>
        </w:rPr>
        <w:t>2</w:t>
      </w:r>
    </w:p>
    <w:p w14:paraId="5E941834" w14:textId="77777777" w:rsidR="00E73B4A" w:rsidRDefault="00000000">
      <w:pPr>
        <w:pStyle w:val="FigureTitle"/>
      </w:pPr>
      <w:r>
        <w:t>Correlation Between the Different Fields of Application and Type of Education</w:t>
      </w:r>
    </w:p>
    <w:p w14:paraId="72715CA7" w14:textId="77777777" w:rsidR="00E73B4A" w:rsidRDefault="00000000">
      <w:pPr>
        <w:pStyle w:val="normal11"/>
        <w:spacing w:before="120" w:after="0"/>
        <w:rPr>
          <w:rFonts w:ascii="Arial" w:eastAsia="Arial" w:hAnsi="Arial" w:cs="Arial"/>
          <w:sz w:val="22"/>
          <w:szCs w:val="22"/>
        </w:rPr>
      </w:pPr>
      <w:r>
        <w:rPr>
          <w:rFonts w:ascii="Arial" w:eastAsia="Arial" w:hAnsi="Arial" w:cs="Arial"/>
          <w:noProof/>
          <w:sz w:val="22"/>
          <w:szCs w:val="22"/>
        </w:rPr>
        <w:drawing>
          <wp:anchor distT="0" distB="0" distL="0" distR="0" simplePos="0" relativeHeight="5" behindDoc="0" locked="0" layoutInCell="0" allowOverlap="1" wp14:anchorId="7E00F814" wp14:editId="063A25A2">
            <wp:simplePos x="0" y="0"/>
            <wp:positionH relativeFrom="column">
              <wp:posOffset>1447800</wp:posOffset>
            </wp:positionH>
            <wp:positionV relativeFrom="paragraph">
              <wp:posOffset>3175</wp:posOffset>
            </wp:positionV>
            <wp:extent cx="4147185" cy="2032000"/>
            <wp:effectExtent l="0" t="0" r="0" b="0"/>
            <wp:wrapSquare wrapText="bothSides"/>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png"/>
                    <pic:cNvPicPr>
                      <a:picLocks noChangeAspect="1" noChangeArrowheads="1"/>
                    </pic:cNvPicPr>
                  </pic:nvPicPr>
                  <pic:blipFill>
                    <a:blip r:embed="rId10"/>
                    <a:stretch>
                      <a:fillRect/>
                    </a:stretch>
                  </pic:blipFill>
                  <pic:spPr bwMode="auto">
                    <a:xfrm>
                      <a:off x="0" y="0"/>
                      <a:ext cx="4147185" cy="2032000"/>
                    </a:xfrm>
                    <a:prstGeom prst="rect">
                      <a:avLst/>
                    </a:prstGeom>
                    <a:noFill/>
                  </pic:spPr>
                </pic:pic>
              </a:graphicData>
            </a:graphic>
          </wp:anchor>
        </w:drawing>
      </w:r>
    </w:p>
    <w:p w14:paraId="01FC63BD" w14:textId="77777777" w:rsidR="00E73B4A" w:rsidRDefault="00E73B4A">
      <w:pPr>
        <w:pStyle w:val="normal11"/>
        <w:spacing w:before="120" w:after="0"/>
        <w:rPr>
          <w:rFonts w:ascii="Arial" w:eastAsia="Arial" w:hAnsi="Arial" w:cs="Arial"/>
        </w:rPr>
      </w:pPr>
    </w:p>
    <w:p w14:paraId="4A8B00E2" w14:textId="77777777" w:rsidR="00E73B4A" w:rsidRDefault="00E73B4A">
      <w:pPr>
        <w:pStyle w:val="normal11"/>
        <w:spacing w:before="238"/>
        <w:rPr>
          <w:rFonts w:ascii="Arial" w:eastAsia="Arial" w:hAnsi="Arial" w:cs="Arial"/>
          <w:sz w:val="22"/>
          <w:szCs w:val="22"/>
        </w:rPr>
      </w:pPr>
    </w:p>
    <w:p w14:paraId="51ADB2EC" w14:textId="77777777" w:rsidR="00E73B4A" w:rsidRDefault="00E73B4A">
      <w:pPr>
        <w:pStyle w:val="normal11"/>
        <w:spacing w:before="238"/>
        <w:rPr>
          <w:rFonts w:ascii="Arial" w:eastAsia="Arial" w:hAnsi="Arial" w:cs="Arial"/>
          <w:sz w:val="22"/>
          <w:szCs w:val="22"/>
        </w:rPr>
      </w:pPr>
    </w:p>
    <w:p w14:paraId="0FB5E9E5" w14:textId="77777777" w:rsidR="00E73B4A" w:rsidRDefault="00E73B4A">
      <w:pPr>
        <w:pStyle w:val="normal11"/>
        <w:spacing w:before="238"/>
        <w:rPr>
          <w:rFonts w:ascii="Arial" w:eastAsia="Arial" w:hAnsi="Arial" w:cs="Arial"/>
          <w:sz w:val="22"/>
          <w:szCs w:val="22"/>
        </w:rPr>
      </w:pPr>
    </w:p>
    <w:p w14:paraId="50DAA7B8" w14:textId="77777777" w:rsidR="00E73B4A" w:rsidRDefault="00E73B4A">
      <w:pPr>
        <w:pStyle w:val="normal11"/>
        <w:spacing w:before="238"/>
        <w:rPr>
          <w:rFonts w:ascii="Arial" w:eastAsia="Arial" w:hAnsi="Arial" w:cs="Arial"/>
          <w:sz w:val="22"/>
          <w:szCs w:val="22"/>
          <w:shd w:val="clear" w:color="auto" w:fill="FFFFFF"/>
        </w:rPr>
      </w:pPr>
    </w:p>
    <w:p w14:paraId="6F611A27" w14:textId="77777777" w:rsidR="00E73B4A" w:rsidRDefault="00E73B4A">
      <w:pPr>
        <w:pStyle w:val="normal11"/>
        <w:spacing w:before="238"/>
        <w:rPr>
          <w:rFonts w:ascii="Arial" w:hAnsi="Arial"/>
        </w:rPr>
      </w:pPr>
    </w:p>
    <w:p w14:paraId="7B3541FA" w14:textId="77777777" w:rsidR="00E73B4A" w:rsidRDefault="00000000">
      <w:r>
        <w:t xml:space="preserve">Regarding barriers to AI usage (Table 2), no overall significant difference emerged between the two student groups. However, when examining individual inhibiting factors (Figure 3), significant differences were identified in five of the seven factors </w:t>
      </w:r>
      <w:proofErr w:type="spellStart"/>
      <w:r>
        <w:t>analyzed</w:t>
      </w:r>
      <w:proofErr w:type="spellEnd"/>
      <w:r>
        <w:t xml:space="preserve">. Correspondence students were notably more likely to cite lack of knowledge about AI (χ² = 7.31, </w:t>
      </w:r>
      <w:proofErr w:type="spellStart"/>
      <w:r>
        <w:t>df</w:t>
      </w:r>
      <w:proofErr w:type="spellEnd"/>
      <w:r>
        <w:t xml:space="preserve"> = 1, </w:t>
      </w:r>
      <w:r>
        <w:rPr>
          <w:rFonts w:cs="Calibri Light"/>
          <w:i/>
          <w:iCs/>
        </w:rPr>
        <w:t>p</w:t>
      </w:r>
      <w:r>
        <w:t xml:space="preserve"> = .007) and absence of necessary technical tools (χ² = 27.60, </w:t>
      </w:r>
      <w:proofErr w:type="spellStart"/>
      <w:r>
        <w:t>df</w:t>
      </w:r>
      <w:proofErr w:type="spellEnd"/>
      <w:r>
        <w:t xml:space="preserve"> = 1, </w:t>
      </w:r>
      <w:r>
        <w:rPr>
          <w:rFonts w:cs="Calibri Light"/>
          <w:i/>
          <w:iCs/>
        </w:rPr>
        <w:t>p</w:t>
      </w:r>
      <w:r>
        <w:t xml:space="preserve"> &lt; .001) as barriers. Additionally, correspondence students were less likely to be inhibited by privacy issues (χ² = 9.14, </w:t>
      </w:r>
      <w:proofErr w:type="spellStart"/>
      <w:r>
        <w:t>df</w:t>
      </w:r>
      <w:proofErr w:type="spellEnd"/>
      <w:r>
        <w:t xml:space="preserve"> = 1, </w:t>
      </w:r>
      <w:r>
        <w:rPr>
          <w:rFonts w:cs="Calibri Light"/>
          <w:i/>
          <w:iCs/>
        </w:rPr>
        <w:t>p</w:t>
      </w:r>
      <w:r>
        <w:t xml:space="preserve"> = .002) and ethical concerns (χ² = 40.16, </w:t>
      </w:r>
      <w:proofErr w:type="spellStart"/>
      <w:r>
        <w:t>df</w:t>
      </w:r>
      <w:proofErr w:type="spellEnd"/>
      <w:r>
        <w:t xml:space="preserve"> = 1, </w:t>
      </w:r>
      <w:r>
        <w:rPr>
          <w:rFonts w:cs="Calibri Light"/>
          <w:i/>
          <w:iCs/>
        </w:rPr>
        <w:t>p</w:t>
      </w:r>
      <w:r>
        <w:t xml:space="preserve"> &lt; .001). Conversely, full-time students more frequently reported financial constraints related to paid tools as a barrier (χ² = 5.55, </w:t>
      </w:r>
      <w:proofErr w:type="spellStart"/>
      <w:r>
        <w:t>df</w:t>
      </w:r>
      <w:proofErr w:type="spellEnd"/>
      <w:r>
        <w:t xml:space="preserve"> = 1, </w:t>
      </w:r>
      <w:r>
        <w:rPr>
          <w:rFonts w:cs="Calibri Light"/>
          <w:i/>
          <w:iCs/>
        </w:rPr>
        <w:t>p</w:t>
      </w:r>
      <w:r>
        <w:t xml:space="preserve"> = .018).</w:t>
      </w:r>
    </w:p>
    <w:p w14:paraId="4530FEBE" w14:textId="77777777" w:rsidR="00E73B4A" w:rsidRDefault="00000000">
      <w:pPr>
        <w:pStyle w:val="FigureNumber"/>
      </w:pPr>
      <w:r>
        <w:rPr>
          <w:rFonts w:eastAsia="Arial"/>
          <w:color w:val="000000"/>
          <w:shd w:val="clear" w:color="auto" w:fill="FFFFFF"/>
          <w:lang w:eastAsia="zh-CN" w:bidi="hi-IN"/>
        </w:rPr>
        <w:t xml:space="preserve">Figure </w:t>
      </w:r>
      <w:r>
        <w:rPr>
          <w:rFonts w:eastAsia="Arial"/>
          <w:shd w:val="clear" w:color="auto" w:fill="FFFFFF"/>
        </w:rPr>
        <w:t xml:space="preserve">3 </w:t>
      </w:r>
    </w:p>
    <w:p w14:paraId="03A9A0A9" w14:textId="77777777" w:rsidR="00E73B4A" w:rsidRDefault="00000000">
      <w:pPr>
        <w:pStyle w:val="FigureTitle"/>
      </w:pPr>
      <w:r>
        <w:rPr>
          <w:noProof/>
        </w:rPr>
        <w:drawing>
          <wp:anchor distT="0" distB="0" distL="0" distR="0" simplePos="0" relativeHeight="9" behindDoc="0" locked="0" layoutInCell="0" allowOverlap="1" wp14:anchorId="7FC26FD2" wp14:editId="6148BF6D">
            <wp:simplePos x="0" y="0"/>
            <wp:positionH relativeFrom="column">
              <wp:posOffset>1089660</wp:posOffset>
            </wp:positionH>
            <wp:positionV relativeFrom="paragraph">
              <wp:posOffset>263525</wp:posOffset>
            </wp:positionV>
            <wp:extent cx="4295775" cy="2127250"/>
            <wp:effectExtent l="0" t="0" r="0" b="0"/>
            <wp:wrapSquare wrapText="bothSides"/>
            <wp:docPr id="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a:picLocks noChangeAspect="1" noChangeArrowheads="1"/>
                    </pic:cNvPicPr>
                  </pic:nvPicPr>
                  <pic:blipFill>
                    <a:blip r:embed="rId11"/>
                    <a:stretch>
                      <a:fillRect/>
                    </a:stretch>
                  </pic:blipFill>
                  <pic:spPr bwMode="auto">
                    <a:xfrm>
                      <a:off x="0" y="0"/>
                      <a:ext cx="4295775" cy="2127250"/>
                    </a:xfrm>
                    <a:prstGeom prst="rect">
                      <a:avLst/>
                    </a:prstGeom>
                    <a:noFill/>
                  </pic:spPr>
                </pic:pic>
              </a:graphicData>
            </a:graphic>
          </wp:anchor>
        </w:drawing>
      </w:r>
      <w:r>
        <w:t xml:space="preserve">Relationship Between Each Inhibiting Factor and Type of Education </w:t>
      </w:r>
    </w:p>
    <w:p w14:paraId="1D851A82" w14:textId="77777777" w:rsidR="00E73B4A" w:rsidRDefault="00E73B4A">
      <w:pPr>
        <w:pStyle w:val="normal11"/>
        <w:tabs>
          <w:tab w:val="clear" w:pos="6300"/>
          <w:tab w:val="left" w:pos="167"/>
        </w:tabs>
        <w:rPr>
          <w:rFonts w:ascii="Arial" w:eastAsia="Arial" w:hAnsi="Arial" w:cs="Arial"/>
          <w:sz w:val="22"/>
          <w:szCs w:val="22"/>
        </w:rPr>
      </w:pPr>
    </w:p>
    <w:p w14:paraId="1656C006" w14:textId="77777777" w:rsidR="00E73B4A" w:rsidRDefault="00E73B4A">
      <w:pPr>
        <w:pStyle w:val="normal11"/>
        <w:tabs>
          <w:tab w:val="clear" w:pos="6300"/>
          <w:tab w:val="left" w:pos="167"/>
        </w:tabs>
        <w:rPr>
          <w:rFonts w:ascii="Arial" w:eastAsia="Arial" w:hAnsi="Arial" w:cs="Arial"/>
          <w:sz w:val="22"/>
          <w:szCs w:val="22"/>
        </w:rPr>
      </w:pPr>
    </w:p>
    <w:p w14:paraId="19117502" w14:textId="77777777" w:rsidR="00E73B4A" w:rsidRDefault="00E73B4A">
      <w:pPr>
        <w:pStyle w:val="Heading2"/>
      </w:pPr>
    </w:p>
    <w:p w14:paraId="4DC28480" w14:textId="77777777" w:rsidR="00E73B4A" w:rsidRDefault="00E73B4A">
      <w:pPr>
        <w:pStyle w:val="Heading2"/>
      </w:pPr>
    </w:p>
    <w:p w14:paraId="3A61F3DF" w14:textId="77777777" w:rsidR="00E73B4A" w:rsidRDefault="00E73B4A">
      <w:pPr>
        <w:pStyle w:val="Heading2"/>
      </w:pPr>
    </w:p>
    <w:p w14:paraId="5AD595E4" w14:textId="77777777" w:rsidR="00E73B4A" w:rsidRDefault="00E73B4A">
      <w:pPr>
        <w:pStyle w:val="Heading2"/>
      </w:pPr>
    </w:p>
    <w:p w14:paraId="4EE42A89" w14:textId="77777777" w:rsidR="00E73B4A" w:rsidRDefault="00E73B4A">
      <w:pPr>
        <w:pStyle w:val="Heading2"/>
      </w:pPr>
    </w:p>
    <w:p w14:paraId="2240BA64" w14:textId="77777777" w:rsidR="00E73B4A" w:rsidRDefault="00000000">
      <w:pPr>
        <w:pStyle w:val="Heading2"/>
      </w:pPr>
      <w:r>
        <w:rPr>
          <w:rFonts w:eastAsia="NSimSun" w:cs="Lucida Sans"/>
          <w:lang w:bidi="hi-IN"/>
        </w:rPr>
        <w:t>Gender as an Influencing Factor</w:t>
      </w:r>
    </w:p>
    <w:p w14:paraId="283B4208" w14:textId="77777777" w:rsidR="00E73B4A" w:rsidRDefault="00000000">
      <w:r>
        <w:rPr>
          <w:rFonts w:cs="Calibri"/>
        </w:rPr>
        <w:t xml:space="preserve">Based on multinomial logistic regression models, significant gender differences were also identified regarding inhibiting factors, AI device usage, and preferred AI application areas. Model 4 (Table 2) demonstrates that women report a greater number of inhibiting factors compared to men: they were more likely to experience inhibitions related to AI usage, with likelihood increasing progressively for one (OR = 1.69), two (OR = 2.35), or three or more (OR = 2.92) inhibiting factors. </w:t>
      </w:r>
      <w:r>
        <w:rPr>
          <w:rFonts w:cs="Calibri"/>
        </w:rPr>
        <w:lastRenderedPageBreak/>
        <w:t xml:space="preserve">Specifically, women were significantly more likely than men to cite a lack of AI knowledge (χ² = 34.41, </w:t>
      </w:r>
      <w:proofErr w:type="spellStart"/>
      <w:r>
        <w:rPr>
          <w:rFonts w:cs="Calibri"/>
        </w:rPr>
        <w:t>df</w:t>
      </w:r>
      <w:proofErr w:type="spellEnd"/>
      <w:r>
        <w:rPr>
          <w:rFonts w:cs="Calibri"/>
        </w:rPr>
        <w:t xml:space="preserve"> = 1, </w:t>
      </w:r>
      <w:r>
        <w:rPr>
          <w:rFonts w:cs="Calibri"/>
          <w:i/>
          <w:iCs/>
        </w:rPr>
        <w:t>p</w:t>
      </w:r>
      <w:r>
        <w:rPr>
          <w:rFonts w:cs="Calibri"/>
        </w:rPr>
        <w:t xml:space="preserve"> &lt; .001) and insufficient access to technical tools (χ² = 5.37, </w:t>
      </w:r>
      <w:proofErr w:type="spellStart"/>
      <w:r>
        <w:rPr>
          <w:rFonts w:cs="Calibri"/>
        </w:rPr>
        <w:t>df</w:t>
      </w:r>
      <w:proofErr w:type="spellEnd"/>
      <w:r>
        <w:rPr>
          <w:rFonts w:cs="Calibri"/>
        </w:rPr>
        <w:t xml:space="preserve"> = 1, </w:t>
      </w:r>
      <w:r>
        <w:rPr>
          <w:rFonts w:cs="Calibri"/>
          <w:i/>
          <w:iCs/>
        </w:rPr>
        <w:t>p</w:t>
      </w:r>
      <w:r>
        <w:rPr>
          <w:rFonts w:cs="Calibri"/>
        </w:rPr>
        <w:t xml:space="preserve"> = .021). Consequently, female students expressed greater perceived needs for additional knowledge and tools for responsible AI use.</w:t>
      </w:r>
    </w:p>
    <w:p w14:paraId="0460ED20" w14:textId="77777777" w:rsidR="00E73B4A" w:rsidRDefault="00000000">
      <w:r>
        <w:rPr>
          <w:rFonts w:cs="Calibri"/>
        </w:rPr>
        <w:t xml:space="preserve">Model 2 (Table 2) further shows gender disparities in actual AI tool usage, indicating men generally use a wider variety of AI devices. Women, controlling for other factors, were significantly less likely than men to have used three or more AI devices (OR = 0.59). Men were notably more frequent users of ChatGPT (χ² = 39.08, </w:t>
      </w:r>
      <w:proofErr w:type="spellStart"/>
      <w:r>
        <w:rPr>
          <w:rFonts w:cs="Calibri"/>
        </w:rPr>
        <w:t>df</w:t>
      </w:r>
      <w:proofErr w:type="spellEnd"/>
      <w:r>
        <w:rPr>
          <w:rFonts w:cs="Calibri"/>
        </w:rPr>
        <w:t xml:space="preserve"> = 1, </w:t>
      </w:r>
      <w:r>
        <w:rPr>
          <w:rFonts w:cs="Calibri"/>
          <w:i/>
          <w:iCs/>
        </w:rPr>
        <w:t>p</w:t>
      </w:r>
      <w:r>
        <w:rPr>
          <w:rFonts w:cs="Calibri"/>
        </w:rPr>
        <w:t xml:space="preserve"> &lt; .001), Google Bard (χ² = 5.78, </w:t>
      </w:r>
      <w:proofErr w:type="spellStart"/>
      <w:r>
        <w:rPr>
          <w:rFonts w:cs="Calibri"/>
        </w:rPr>
        <w:t>df</w:t>
      </w:r>
      <w:proofErr w:type="spellEnd"/>
      <w:r>
        <w:rPr>
          <w:rFonts w:cs="Calibri"/>
        </w:rPr>
        <w:t xml:space="preserve"> = 1, </w:t>
      </w:r>
      <w:r>
        <w:rPr>
          <w:rFonts w:cs="Calibri"/>
          <w:i/>
          <w:iCs/>
        </w:rPr>
        <w:t>p</w:t>
      </w:r>
      <w:r>
        <w:rPr>
          <w:rFonts w:cs="Calibri"/>
        </w:rPr>
        <w:t xml:space="preserve"> = .016), Bing Chat (χ² = 44.43, </w:t>
      </w:r>
      <w:proofErr w:type="spellStart"/>
      <w:r>
        <w:rPr>
          <w:rFonts w:cs="Calibri"/>
        </w:rPr>
        <w:t>df</w:t>
      </w:r>
      <w:proofErr w:type="spellEnd"/>
      <w:r>
        <w:rPr>
          <w:rFonts w:cs="Calibri"/>
        </w:rPr>
        <w:t xml:space="preserve"> = 1, </w:t>
      </w:r>
      <w:r>
        <w:rPr>
          <w:rFonts w:cs="Calibri"/>
          <w:i/>
          <w:iCs/>
        </w:rPr>
        <w:t>p</w:t>
      </w:r>
      <w:r>
        <w:rPr>
          <w:rFonts w:cs="Calibri"/>
        </w:rPr>
        <w:t xml:space="preserve"> &lt; .001), and </w:t>
      </w:r>
      <w:proofErr w:type="spellStart"/>
      <w:r>
        <w:rPr>
          <w:rFonts w:cs="Calibri"/>
        </w:rPr>
        <w:t>DeepL</w:t>
      </w:r>
      <w:proofErr w:type="spellEnd"/>
      <w:r>
        <w:rPr>
          <w:rFonts w:cs="Calibri"/>
        </w:rPr>
        <w:t xml:space="preserve"> (χ² = 6.61, </w:t>
      </w:r>
      <w:proofErr w:type="spellStart"/>
      <w:r>
        <w:rPr>
          <w:rFonts w:cs="Calibri"/>
        </w:rPr>
        <w:t>df</w:t>
      </w:r>
      <w:proofErr w:type="spellEnd"/>
      <w:r>
        <w:rPr>
          <w:rFonts w:cs="Calibri"/>
        </w:rPr>
        <w:t xml:space="preserve"> = 1, </w:t>
      </w:r>
      <w:r>
        <w:rPr>
          <w:rFonts w:cs="Calibri"/>
          <w:i/>
          <w:iCs/>
        </w:rPr>
        <w:t>p</w:t>
      </w:r>
      <w:r>
        <w:rPr>
          <w:rFonts w:cs="Calibri"/>
        </w:rPr>
        <w:t xml:space="preserve"> = .010). Although women were more inclined to use Duolingo, this difference was not statistically significant. Similarly, no significant gender differences emerged for the usage of Scholar AI and Grammarly.</w:t>
      </w:r>
    </w:p>
    <w:p w14:paraId="15758B4A" w14:textId="77777777" w:rsidR="00E73B4A" w:rsidRDefault="00000000">
      <w:r>
        <w:rPr>
          <w:rFonts w:eastAsia="Arial"/>
          <w:shd w:val="clear" w:color="auto" w:fill="FFFFFF"/>
        </w:rPr>
        <w:t xml:space="preserve">Model 3 (Table 2) reveals that women have more extensive intended use of AI compared to men, with women being more than twice as likely (OR = 2.55) to aim for AI utilization in two areas versus none, controlling for other variables. Further analysis of gender differences in desired AI use (Figure 4) indicates that women are significantly more inclined to use AI tools for Language Learning (χ² = 7.44, </w:t>
      </w:r>
      <w:proofErr w:type="spellStart"/>
      <w:r>
        <w:rPr>
          <w:rFonts w:eastAsia="Arial"/>
          <w:shd w:val="clear" w:color="auto" w:fill="FFFFFF"/>
        </w:rPr>
        <w:t>df</w:t>
      </w:r>
      <w:proofErr w:type="spellEnd"/>
      <w:r>
        <w:rPr>
          <w:rFonts w:eastAsia="Arial"/>
          <w:shd w:val="clear" w:color="auto" w:fill="FFFFFF"/>
        </w:rPr>
        <w:t xml:space="preserve"> = 1, </w:t>
      </w:r>
      <w:r>
        <w:rPr>
          <w:rFonts w:cs="Calibri Light"/>
          <w:i/>
          <w:iCs/>
        </w:rPr>
        <w:t>p</w:t>
      </w:r>
      <w:r>
        <w:rPr>
          <w:rFonts w:eastAsia="Arial"/>
          <w:shd w:val="clear" w:color="auto" w:fill="FFFFFF"/>
        </w:rPr>
        <w:t xml:space="preserve"> = .006), while men show a stronger preference for Personalised Interactive Learning Materials (χ² = 5.33, </w:t>
      </w:r>
      <w:proofErr w:type="spellStart"/>
      <w:r>
        <w:rPr>
          <w:rFonts w:eastAsia="Arial"/>
          <w:shd w:val="clear" w:color="auto" w:fill="FFFFFF"/>
        </w:rPr>
        <w:t>df</w:t>
      </w:r>
      <w:proofErr w:type="spellEnd"/>
      <w:r>
        <w:rPr>
          <w:rFonts w:eastAsia="Arial"/>
          <w:shd w:val="clear" w:color="auto" w:fill="FFFFFF"/>
        </w:rPr>
        <w:t xml:space="preserve"> = 1, </w:t>
      </w:r>
      <w:r>
        <w:rPr>
          <w:rFonts w:cs="Calibri Light"/>
          <w:i/>
          <w:iCs/>
        </w:rPr>
        <w:t>p</w:t>
      </w:r>
      <w:r>
        <w:rPr>
          <w:rFonts w:eastAsia="Arial"/>
          <w:shd w:val="clear" w:color="auto" w:fill="FFFFFF"/>
        </w:rPr>
        <w:t xml:space="preserve"> &lt; .001).</w:t>
      </w:r>
    </w:p>
    <w:p w14:paraId="596D653B" w14:textId="77777777" w:rsidR="00E73B4A" w:rsidRDefault="00000000">
      <w:pPr>
        <w:pStyle w:val="FigureNumber"/>
      </w:pPr>
      <w:r>
        <w:rPr>
          <w:rFonts w:eastAsia="Arial"/>
          <w:color w:val="000000"/>
          <w:shd w:val="clear" w:color="auto" w:fill="FFFFFF"/>
          <w:lang w:eastAsia="zh-CN" w:bidi="hi-IN"/>
        </w:rPr>
        <w:t xml:space="preserve">Figure </w:t>
      </w:r>
      <w:r>
        <w:rPr>
          <w:rFonts w:eastAsia="Arial"/>
          <w:shd w:val="clear" w:color="auto" w:fill="FFFFFF"/>
        </w:rPr>
        <w:t>4</w:t>
      </w:r>
    </w:p>
    <w:p w14:paraId="54D16FFC" w14:textId="77777777" w:rsidR="00E73B4A" w:rsidRDefault="00000000">
      <w:pPr>
        <w:pStyle w:val="FigureTitle"/>
      </w:pPr>
      <w:r>
        <w:t>Correlation Between Application Areas and Gender</w:t>
      </w:r>
    </w:p>
    <w:p w14:paraId="01C1F170" w14:textId="77777777" w:rsidR="00E73B4A" w:rsidRDefault="00000000">
      <w:pPr>
        <w:pStyle w:val="normal11"/>
        <w:rPr>
          <w:rFonts w:ascii="Arial" w:eastAsia="Arial" w:hAnsi="Arial" w:cs="Arial"/>
          <w:i/>
          <w:sz w:val="22"/>
          <w:szCs w:val="22"/>
          <w:shd w:val="clear" w:color="auto" w:fill="FFFFFF"/>
        </w:rPr>
      </w:pPr>
      <w:r>
        <w:rPr>
          <w:rFonts w:ascii="Arial" w:eastAsia="Arial" w:hAnsi="Arial" w:cs="Arial"/>
          <w:i/>
          <w:noProof/>
          <w:sz w:val="22"/>
          <w:szCs w:val="22"/>
          <w:shd w:val="clear" w:color="auto" w:fill="FFFFFF"/>
        </w:rPr>
        <w:drawing>
          <wp:anchor distT="0" distB="0" distL="0" distR="0" simplePos="0" relativeHeight="8" behindDoc="0" locked="0" layoutInCell="0" allowOverlap="1" wp14:anchorId="3EE4A744" wp14:editId="64F1C068">
            <wp:simplePos x="0" y="0"/>
            <wp:positionH relativeFrom="column">
              <wp:posOffset>33655</wp:posOffset>
            </wp:positionH>
            <wp:positionV relativeFrom="paragraph">
              <wp:posOffset>161925</wp:posOffset>
            </wp:positionV>
            <wp:extent cx="5943600" cy="2884805"/>
            <wp:effectExtent l="0" t="0" r="0" b="0"/>
            <wp:wrapSquare wrapText="bothSides"/>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png"/>
                    <pic:cNvPicPr>
                      <a:picLocks noChangeAspect="1" noChangeArrowheads="1"/>
                    </pic:cNvPicPr>
                  </pic:nvPicPr>
                  <pic:blipFill>
                    <a:blip r:embed="rId12"/>
                    <a:stretch>
                      <a:fillRect/>
                    </a:stretch>
                  </pic:blipFill>
                  <pic:spPr bwMode="auto">
                    <a:xfrm>
                      <a:off x="0" y="0"/>
                      <a:ext cx="5943600" cy="2884805"/>
                    </a:xfrm>
                    <a:prstGeom prst="rect">
                      <a:avLst/>
                    </a:prstGeom>
                    <a:noFill/>
                  </pic:spPr>
                </pic:pic>
              </a:graphicData>
            </a:graphic>
          </wp:anchor>
        </w:drawing>
      </w:r>
    </w:p>
    <w:p w14:paraId="085815D4" w14:textId="77777777" w:rsidR="00E73B4A" w:rsidRDefault="00E73B4A">
      <w:pPr>
        <w:pStyle w:val="normal11"/>
        <w:rPr>
          <w:rFonts w:ascii="Arial" w:eastAsia="Arial" w:hAnsi="Arial" w:cs="Arial"/>
          <w:i/>
          <w:sz w:val="22"/>
          <w:szCs w:val="22"/>
          <w:shd w:val="clear" w:color="auto" w:fill="FFFFFF"/>
        </w:rPr>
      </w:pPr>
    </w:p>
    <w:p w14:paraId="364A2C14" w14:textId="77777777" w:rsidR="00E73B4A" w:rsidRDefault="00000000">
      <w:pPr>
        <w:pStyle w:val="Heading2"/>
      </w:pPr>
      <w:r>
        <w:rPr>
          <w:rFonts w:eastAsia="NSimSun" w:cs="Lucida Sans"/>
          <w:lang w:bidi="hi-IN"/>
        </w:rPr>
        <w:t>The Field of Education as an Influencing Factor</w:t>
      </w:r>
    </w:p>
    <w:p w14:paraId="5689BF5D" w14:textId="77777777" w:rsidR="00E73B4A" w:rsidRDefault="00000000">
      <w:r>
        <w:t xml:space="preserve">The field of education also influences AI usage. Students from humanities and social sciences fields report significantly more extensive use of AI devices than those in teacher education. According to Model 2 (Table 2), compared to teacher education students, those in humanities were twice as likely to use AI tools in two areas and three times as likely in three or more areas, </w:t>
      </w:r>
      <w:r>
        <w:lastRenderedPageBreak/>
        <w:t>with respective odds ratios of 3.23 and 4.24. Similarly, students from social sciences had even higher likelihoods, with odds ratios of 3.59 and 5.92, respectively.</w:t>
      </w:r>
    </w:p>
    <w:p w14:paraId="7D7F47F8" w14:textId="77777777" w:rsidR="00E73B4A" w:rsidRDefault="00000000">
      <w:r>
        <w:rPr>
          <w:rFonts w:eastAsia="Times New Roman" w:cs="Calibri Light"/>
          <w:lang w:eastAsia="en-GB"/>
        </w:rPr>
        <w:t xml:space="preserve">There were notable differences in specific AI tool usage across educational domains. ChatGPT (χ² = 88.94, </w:t>
      </w:r>
      <w:proofErr w:type="spellStart"/>
      <w:r>
        <w:rPr>
          <w:rFonts w:eastAsia="Times New Roman" w:cs="Calibri Light"/>
          <w:lang w:eastAsia="en-GB"/>
        </w:rPr>
        <w:t>df</w:t>
      </w:r>
      <w:proofErr w:type="spellEnd"/>
      <w:r>
        <w:rPr>
          <w:rFonts w:eastAsia="Times New Roman" w:cs="Calibri Light"/>
          <w:lang w:eastAsia="en-GB"/>
        </w:rPr>
        <w:t xml:space="preserve"> = 2, </w:t>
      </w:r>
      <w:r>
        <w:rPr>
          <w:rFonts w:cs="Calibri Light"/>
          <w:i/>
          <w:iCs/>
        </w:rPr>
        <w:t>p</w:t>
      </w:r>
      <w:r>
        <w:rPr>
          <w:rFonts w:cs="Calibri Light"/>
        </w:rPr>
        <w:t xml:space="preserve"> &lt; .001) and Duolingo (χ² = 20.59, </w:t>
      </w:r>
      <w:proofErr w:type="spellStart"/>
      <w:r>
        <w:rPr>
          <w:rFonts w:cs="Calibri Light"/>
        </w:rPr>
        <w:t>df</w:t>
      </w:r>
      <w:proofErr w:type="spellEnd"/>
      <w:r>
        <w:rPr>
          <w:rFonts w:cs="Calibri Light"/>
        </w:rPr>
        <w:t xml:space="preserve"> = 2, </w:t>
      </w:r>
      <w:r>
        <w:rPr>
          <w:rFonts w:cs="Calibri Light"/>
          <w:i/>
          <w:iCs/>
        </w:rPr>
        <w:t>p</w:t>
      </w:r>
      <w:r>
        <w:rPr>
          <w:rFonts w:cs="Calibri Light"/>
        </w:rPr>
        <w:t xml:space="preserve"> &lt; .001) were more extensively used by social sciences students and less so by teacher education students. Similarly, humanities students significantly preferred </w:t>
      </w:r>
      <w:proofErr w:type="spellStart"/>
      <w:r>
        <w:rPr>
          <w:rFonts w:cs="Calibri Light"/>
        </w:rPr>
        <w:t>Deepl</w:t>
      </w:r>
      <w:proofErr w:type="spellEnd"/>
      <w:r>
        <w:rPr>
          <w:rFonts w:cs="Calibri Light"/>
        </w:rPr>
        <w:t xml:space="preserve"> (χ² = 36.37, </w:t>
      </w:r>
      <w:proofErr w:type="spellStart"/>
      <w:r>
        <w:rPr>
          <w:rFonts w:cs="Calibri Light"/>
        </w:rPr>
        <w:t>df</w:t>
      </w:r>
      <w:proofErr w:type="spellEnd"/>
      <w:r>
        <w:rPr>
          <w:rFonts w:cs="Calibri Light"/>
        </w:rPr>
        <w:t xml:space="preserve"> = 2, </w:t>
      </w:r>
      <w:r>
        <w:rPr>
          <w:rFonts w:cs="Calibri Light"/>
          <w:i/>
          <w:iCs/>
        </w:rPr>
        <w:t>p</w:t>
      </w:r>
      <w:r>
        <w:rPr>
          <w:rFonts w:cs="Calibri Light"/>
        </w:rPr>
        <w:t xml:space="preserve"> &lt; .001) and Grammarly (χ² = 21.93, </w:t>
      </w:r>
      <w:proofErr w:type="spellStart"/>
      <w:r>
        <w:rPr>
          <w:rFonts w:cs="Calibri Light"/>
        </w:rPr>
        <w:t>df</w:t>
      </w:r>
      <w:proofErr w:type="spellEnd"/>
      <w:r>
        <w:rPr>
          <w:rFonts w:cs="Calibri Light"/>
        </w:rPr>
        <w:t xml:space="preserve"> = 2, </w:t>
      </w:r>
      <w:r>
        <w:rPr>
          <w:rFonts w:cs="Calibri Light"/>
          <w:i/>
          <w:iCs/>
        </w:rPr>
        <w:t>p</w:t>
      </w:r>
      <w:r>
        <w:rPr>
          <w:rFonts w:cs="Calibri Light"/>
        </w:rPr>
        <w:t xml:space="preserve"> &lt; .001) compared to those in teacher education. Conversely, teacher education students showed a non-significant tendency towards using Google Bard more frequently than their counterparts in other fields. No significant field-specific differences were observed for Scholar AI and Bing Chat.</w:t>
      </w:r>
    </w:p>
    <w:p w14:paraId="16F8F899" w14:textId="77777777" w:rsidR="00E73B4A" w:rsidRDefault="00000000">
      <w:pPr>
        <w:pStyle w:val="Heading2"/>
      </w:pPr>
      <w:r>
        <w:t>The Level of Education as an Influencing Factor</w:t>
      </w:r>
    </w:p>
    <w:p w14:paraId="6865B0AA" w14:textId="77777777" w:rsidR="00E73B4A" w:rsidRDefault="00000000">
      <w:r>
        <w:rPr>
          <w:rFonts w:cs="Calibri Light"/>
        </w:rPr>
        <w:t>Models 1 and 2 indicate that the educational programs examined</w:t>
      </w:r>
      <w:r>
        <w:rPr>
          <w:rFonts w:cs="Calibri Light"/>
          <w:lang w:val="hu-HU"/>
        </w:rPr>
        <w:t xml:space="preserve"> – </w:t>
      </w:r>
      <w:proofErr w:type="gramStart"/>
      <w:r>
        <w:rPr>
          <w:rFonts w:cs="Calibri Light"/>
        </w:rPr>
        <w:t>Bachelor’s</w:t>
      </w:r>
      <w:proofErr w:type="gramEnd"/>
      <w:r>
        <w:rPr>
          <w:rFonts w:cs="Calibri Light"/>
        </w:rPr>
        <w:t xml:space="preserve"> versus Master’s, undivided training, and PhD</w:t>
      </w:r>
      <w:r>
        <w:rPr>
          <w:rFonts w:cs="Calibri Light"/>
          <w:lang w:val="hu-HU"/>
        </w:rPr>
        <w:t xml:space="preserve"> – </w:t>
      </w:r>
      <w:r>
        <w:rPr>
          <w:rFonts w:cs="Calibri Light"/>
        </w:rPr>
        <w:t xml:space="preserve">differ in the extent of AI awareness and tool usage. Students enrolled in a </w:t>
      </w:r>
      <w:proofErr w:type="gramStart"/>
      <w:r>
        <w:rPr>
          <w:rFonts w:cs="Calibri Light"/>
        </w:rPr>
        <w:t>Master’s</w:t>
      </w:r>
      <w:proofErr w:type="gramEnd"/>
      <w:r>
        <w:rPr>
          <w:rFonts w:cs="Calibri Light"/>
        </w:rPr>
        <w:t xml:space="preserve"> or PhD program demonstrate both broader awareness and greater tool use. After controlling for other variables (</w:t>
      </w:r>
      <w:r>
        <w:rPr>
          <w:rStyle w:val="Emphasis"/>
          <w:rFonts w:eastAsia="NSimSun" w:cs="Calibri Light"/>
          <w:i w:val="0"/>
          <w:iCs w:val="0"/>
        </w:rPr>
        <w:t>Table 2</w:t>
      </w:r>
      <w:r>
        <w:rPr>
          <w:rFonts w:cs="Calibri Light"/>
        </w:rPr>
        <w:t>), these students are nearly half as likely (</w:t>
      </w:r>
      <w:r>
        <w:rPr>
          <w:rStyle w:val="mord"/>
          <w:rFonts w:cs="Calibri Light"/>
        </w:rPr>
        <w:t>OR</w:t>
      </w:r>
      <w:r>
        <w:rPr>
          <w:rStyle w:val="mrel"/>
          <w:rFonts w:cs="Calibri Light"/>
        </w:rPr>
        <w:t>=</w:t>
      </w:r>
      <w:r>
        <w:rPr>
          <w:rStyle w:val="mord"/>
          <w:rFonts w:cs="Calibri Light"/>
        </w:rPr>
        <w:t>0.52</w:t>
      </w:r>
      <w:r>
        <w:rPr>
          <w:rFonts w:cs="Calibri Light"/>
        </w:rPr>
        <w:t>) to have encountered AI in at least three areas compared to those without such exposure, and they are roughly one-third as likely (</w:t>
      </w:r>
      <w:r>
        <w:rPr>
          <w:rStyle w:val="mord"/>
          <w:rFonts w:cs="Calibri Light"/>
        </w:rPr>
        <w:t>OR</w:t>
      </w:r>
      <w:r>
        <w:rPr>
          <w:rStyle w:val="mrel"/>
          <w:rFonts w:cs="Calibri Light"/>
        </w:rPr>
        <w:t>=</w:t>
      </w:r>
      <w:r>
        <w:rPr>
          <w:rStyle w:val="mord"/>
          <w:rFonts w:cs="Calibri Light"/>
        </w:rPr>
        <w:t>0.30</w:t>
      </w:r>
      <w:r>
        <w:rPr>
          <w:rFonts w:cs="Calibri Light"/>
        </w:rPr>
        <w:t>) to be using three or more AI devices versus none.</w:t>
      </w:r>
    </w:p>
    <w:p w14:paraId="2037549C" w14:textId="77777777" w:rsidR="00E73B4A" w:rsidRDefault="00000000">
      <w:r>
        <w:rPr>
          <w:rFonts w:eastAsia="Times New Roman" w:cs="Calibri Light"/>
          <w:lang w:eastAsia="en-GB"/>
        </w:rPr>
        <w:t xml:space="preserve">Figure 5 illustrates additional variations in AI-related knowledge sources by level of education. Undergraduate students rely significantly more on other study resources </w:t>
      </w:r>
      <w:r>
        <w:rPr>
          <w:rFonts w:eastAsia="Arial" w:cs="Calibri Light"/>
          <w:shd w:val="clear" w:color="auto" w:fill="FFFFFF"/>
        </w:rPr>
        <w:t>(</w:t>
      </w:r>
      <w:r>
        <w:rPr>
          <w:rFonts w:eastAsia="Arial" w:cs="Calibri Light"/>
          <w:color w:val="000000"/>
        </w:rPr>
        <w:t>χ</w:t>
      </w:r>
      <w:r>
        <w:rPr>
          <w:rFonts w:eastAsia="Arial" w:cs="Calibri Light"/>
          <w:color w:val="000000"/>
          <w:vertAlign w:val="superscript"/>
        </w:rPr>
        <w:t>2</w:t>
      </w:r>
      <w:r>
        <w:rPr>
          <w:rFonts w:eastAsia="Arial" w:cs="Calibri Light"/>
          <w:vertAlign w:val="superscript"/>
        </w:rPr>
        <w:t xml:space="preserve"> </w:t>
      </w:r>
      <w:r>
        <w:rPr>
          <w:rFonts w:eastAsia="Arial" w:cs="Calibri Light"/>
          <w:shd w:val="clear" w:color="auto" w:fill="FFFFFF"/>
        </w:rPr>
        <w:t xml:space="preserve">= 7.52, </w:t>
      </w:r>
      <w:proofErr w:type="spellStart"/>
      <w:r>
        <w:rPr>
          <w:rFonts w:eastAsia="Arial" w:cs="Calibri Light"/>
          <w:shd w:val="clear" w:color="auto" w:fill="FFFFFF"/>
        </w:rPr>
        <w:t>df</w:t>
      </w:r>
      <w:proofErr w:type="spellEnd"/>
      <w:r>
        <w:rPr>
          <w:rFonts w:eastAsia="Arial" w:cs="Calibri Light"/>
          <w:shd w:val="clear" w:color="auto" w:fill="FFFFFF"/>
        </w:rPr>
        <w:t xml:space="preserve"> = 1, </w:t>
      </w:r>
      <w:r>
        <w:rPr>
          <w:rFonts w:eastAsia="Arial" w:cs="Calibri Light"/>
          <w:i/>
          <w:shd w:val="clear" w:color="auto" w:fill="FFFFFF"/>
        </w:rPr>
        <w:t xml:space="preserve">p </w:t>
      </w:r>
      <w:r>
        <w:rPr>
          <w:rFonts w:eastAsia="Arial" w:cs="Calibri Light"/>
          <w:shd w:val="clear" w:color="auto" w:fill="FFFFFF"/>
        </w:rPr>
        <w:t>= .006)</w:t>
      </w:r>
      <w:r>
        <w:rPr>
          <w:rFonts w:eastAsia="Arial" w:cs="Calibri Light"/>
          <w:shd w:val="clear" w:color="auto" w:fill="FFFFFF"/>
          <w:lang w:val="hu-HU"/>
        </w:rPr>
        <w:t xml:space="preserve"> </w:t>
      </w:r>
      <w:r>
        <w:rPr>
          <w:rFonts w:cs="Calibri Light"/>
        </w:rPr>
        <w:t xml:space="preserve">and peer interactions </w:t>
      </w:r>
      <w:r>
        <w:rPr>
          <w:rFonts w:eastAsia="Arial" w:cs="Calibri Light"/>
          <w:shd w:val="clear" w:color="auto" w:fill="FFFFFF"/>
        </w:rPr>
        <w:t>(</w:t>
      </w:r>
      <w:r>
        <w:rPr>
          <w:rFonts w:eastAsia="Arial" w:cs="Calibri Light"/>
          <w:color w:val="000000"/>
        </w:rPr>
        <w:t>χ</w:t>
      </w:r>
      <w:r>
        <w:rPr>
          <w:rFonts w:eastAsia="Arial" w:cs="Calibri Light"/>
          <w:color w:val="000000"/>
          <w:vertAlign w:val="superscript"/>
        </w:rPr>
        <w:t xml:space="preserve">2 </w:t>
      </w:r>
      <w:r>
        <w:rPr>
          <w:rFonts w:eastAsia="Arial" w:cs="Calibri Light"/>
          <w:shd w:val="clear" w:color="auto" w:fill="FFFFFF"/>
        </w:rPr>
        <w:t xml:space="preserve">= 6.75, </w:t>
      </w:r>
      <w:proofErr w:type="spellStart"/>
      <w:r>
        <w:rPr>
          <w:rFonts w:eastAsia="Arial" w:cs="Calibri Light"/>
          <w:shd w:val="clear" w:color="auto" w:fill="FFFFFF"/>
        </w:rPr>
        <w:t>df</w:t>
      </w:r>
      <w:proofErr w:type="spellEnd"/>
      <w:r>
        <w:rPr>
          <w:rFonts w:eastAsia="Arial" w:cs="Calibri Light"/>
          <w:shd w:val="clear" w:color="auto" w:fill="FFFFFF"/>
        </w:rPr>
        <w:t xml:space="preserve"> = 1, </w:t>
      </w:r>
      <w:r>
        <w:rPr>
          <w:rFonts w:eastAsia="Arial" w:cs="Calibri Light"/>
          <w:i/>
          <w:shd w:val="clear" w:color="auto" w:fill="FFFFFF"/>
        </w:rPr>
        <w:t xml:space="preserve">p </w:t>
      </w:r>
      <w:r>
        <w:rPr>
          <w:rFonts w:eastAsia="Arial" w:cs="Calibri Light"/>
        </w:rPr>
        <w:t xml:space="preserve">= .009) </w:t>
      </w:r>
      <w:r>
        <w:rPr>
          <w:rFonts w:cs="Calibri Light"/>
        </w:rPr>
        <w:t>than those in advanced programs. In contrast, using university courses as a primary source of AI information</w:t>
      </w:r>
      <w:r>
        <w:rPr>
          <w:rFonts w:cs="Calibri Light"/>
          <w:lang w:val="hu-HU"/>
        </w:rPr>
        <w:t xml:space="preserve"> – </w:t>
      </w:r>
      <w:r>
        <w:rPr>
          <w:rFonts w:cs="Calibri Light"/>
        </w:rPr>
        <w:t>a choice more frequently reported by Master’s, undivided training, and PhD students</w:t>
      </w:r>
      <w:r>
        <w:rPr>
          <w:rFonts w:cs="Calibri Light"/>
          <w:lang w:val="hu-HU"/>
        </w:rPr>
        <w:t xml:space="preserve"> – </w:t>
      </w:r>
      <w:r>
        <w:rPr>
          <w:rFonts w:cs="Calibri Light"/>
        </w:rPr>
        <w:t>does not yield a statistically significant difference.</w:t>
      </w:r>
    </w:p>
    <w:p w14:paraId="05B598E7" w14:textId="77777777" w:rsidR="00E73B4A" w:rsidRDefault="00000000">
      <w:r>
        <w:rPr>
          <w:rFonts w:eastAsia="Times New Roman" w:cs="Calibri Light"/>
          <w:lang w:eastAsia="en-GB"/>
        </w:rPr>
        <w:t xml:space="preserve">Moreover, students in Master’s, undivided training, and PhD programs are significantly more likely to use </w:t>
      </w:r>
      <w:r>
        <w:rPr>
          <w:rFonts w:eastAsia="Arial" w:cs="Calibri Light"/>
          <w:shd w:val="clear" w:color="auto" w:fill="FFFFFF"/>
        </w:rPr>
        <w:t>Bing Chat (</w:t>
      </w:r>
      <w:r>
        <w:rPr>
          <w:rFonts w:eastAsia="Arial" w:cs="Calibri Light"/>
          <w:color w:val="000000"/>
        </w:rPr>
        <w:t>χ</w:t>
      </w:r>
      <w:r>
        <w:rPr>
          <w:rFonts w:eastAsia="Arial" w:cs="Calibri Light"/>
          <w:color w:val="000000"/>
          <w:vertAlign w:val="superscript"/>
        </w:rPr>
        <w:t xml:space="preserve">2 </w:t>
      </w:r>
      <w:r>
        <w:rPr>
          <w:rFonts w:eastAsia="Arial" w:cs="Calibri Light"/>
          <w:shd w:val="clear" w:color="auto" w:fill="FFFFFF"/>
          <w:vertAlign w:val="superscript"/>
        </w:rPr>
        <w:t xml:space="preserve"> </w:t>
      </w:r>
      <w:r>
        <w:rPr>
          <w:rFonts w:eastAsia="Arial" w:cs="Calibri Light"/>
          <w:shd w:val="clear" w:color="auto" w:fill="FFFFFF"/>
        </w:rPr>
        <w:t xml:space="preserve">= 4.11, </w:t>
      </w:r>
      <w:proofErr w:type="spellStart"/>
      <w:r>
        <w:rPr>
          <w:rFonts w:eastAsia="Arial" w:cs="Calibri Light"/>
          <w:shd w:val="clear" w:color="auto" w:fill="FFFFFF"/>
        </w:rPr>
        <w:t>df</w:t>
      </w:r>
      <w:proofErr w:type="spellEnd"/>
      <w:r>
        <w:rPr>
          <w:rFonts w:eastAsia="Arial" w:cs="Calibri Light"/>
          <w:shd w:val="clear" w:color="auto" w:fill="FFFFFF"/>
        </w:rPr>
        <w:t xml:space="preserve"> = 2, </w:t>
      </w:r>
      <w:r>
        <w:rPr>
          <w:rFonts w:eastAsia="Arial" w:cs="Calibri Light"/>
          <w:i/>
          <w:shd w:val="clear" w:color="auto" w:fill="FFFFFF"/>
        </w:rPr>
        <w:t xml:space="preserve">p </w:t>
      </w:r>
      <w:r>
        <w:rPr>
          <w:rFonts w:eastAsia="Arial" w:cs="Calibri Light"/>
          <w:shd w:val="clear" w:color="auto" w:fill="FFFFFF"/>
        </w:rPr>
        <w:t xml:space="preserve">= .043), </w:t>
      </w:r>
      <w:proofErr w:type="spellStart"/>
      <w:r>
        <w:rPr>
          <w:rFonts w:eastAsia="Arial" w:cs="Calibri Light"/>
          <w:shd w:val="clear" w:color="auto" w:fill="FFFFFF"/>
        </w:rPr>
        <w:t>Deepl</w:t>
      </w:r>
      <w:proofErr w:type="spellEnd"/>
      <w:r>
        <w:rPr>
          <w:rFonts w:eastAsia="Arial" w:cs="Calibri Light"/>
          <w:shd w:val="clear" w:color="auto" w:fill="FFFFFF"/>
        </w:rPr>
        <w:t xml:space="preserve"> (</w:t>
      </w:r>
      <w:r>
        <w:rPr>
          <w:rFonts w:eastAsia="Arial" w:cs="Calibri Light"/>
          <w:color w:val="000000"/>
        </w:rPr>
        <w:t>χ</w:t>
      </w:r>
      <w:r>
        <w:rPr>
          <w:rFonts w:eastAsia="Arial" w:cs="Calibri Light"/>
          <w:color w:val="000000"/>
          <w:vertAlign w:val="superscript"/>
        </w:rPr>
        <w:t xml:space="preserve">2 </w:t>
      </w:r>
      <w:r>
        <w:rPr>
          <w:rFonts w:eastAsia="Arial" w:cs="Calibri Light"/>
          <w:shd w:val="clear" w:color="auto" w:fill="FFFFFF"/>
          <w:vertAlign w:val="superscript"/>
        </w:rPr>
        <w:t xml:space="preserve"> </w:t>
      </w:r>
      <w:r>
        <w:rPr>
          <w:rFonts w:eastAsia="Arial" w:cs="Calibri Light"/>
          <w:shd w:val="clear" w:color="auto" w:fill="FFFFFF"/>
        </w:rPr>
        <w:t xml:space="preserve">= 40.66, </w:t>
      </w:r>
      <w:proofErr w:type="spellStart"/>
      <w:r>
        <w:rPr>
          <w:rFonts w:eastAsia="Arial" w:cs="Calibri Light"/>
          <w:shd w:val="clear" w:color="auto" w:fill="FFFFFF"/>
        </w:rPr>
        <w:t>df</w:t>
      </w:r>
      <w:proofErr w:type="spellEnd"/>
      <w:r>
        <w:rPr>
          <w:rFonts w:eastAsia="Arial" w:cs="Calibri Light"/>
          <w:shd w:val="clear" w:color="auto" w:fill="FFFFFF"/>
        </w:rPr>
        <w:t xml:space="preserve"> = 1, </w:t>
      </w:r>
      <w:r>
        <w:rPr>
          <w:rFonts w:eastAsia="Arial" w:cs="Calibri Light"/>
          <w:i/>
          <w:shd w:val="clear" w:color="auto" w:fill="FFFFFF"/>
        </w:rPr>
        <w:t xml:space="preserve">p </w:t>
      </w:r>
      <w:r>
        <w:rPr>
          <w:rFonts w:eastAsia="Arial" w:cs="Calibri Light"/>
          <w:shd w:val="clear" w:color="auto" w:fill="FFFFFF"/>
        </w:rPr>
        <w:t>&lt; .001), Grammarly (</w:t>
      </w:r>
      <w:r>
        <w:rPr>
          <w:rFonts w:eastAsia="Arial" w:cs="Calibri Light"/>
          <w:color w:val="000000"/>
        </w:rPr>
        <w:t>χ</w:t>
      </w:r>
      <w:r>
        <w:rPr>
          <w:rFonts w:eastAsia="Arial" w:cs="Calibri Light"/>
          <w:color w:val="000000"/>
          <w:vertAlign w:val="superscript"/>
        </w:rPr>
        <w:t xml:space="preserve">2 </w:t>
      </w:r>
      <w:r>
        <w:rPr>
          <w:rFonts w:eastAsia="Arial" w:cs="Calibri Light"/>
          <w:shd w:val="clear" w:color="auto" w:fill="FFFFFF"/>
        </w:rPr>
        <w:t xml:space="preserve">= 7.449, </w:t>
      </w:r>
      <w:proofErr w:type="spellStart"/>
      <w:r>
        <w:rPr>
          <w:rFonts w:eastAsia="Arial" w:cs="Calibri Light"/>
          <w:shd w:val="clear" w:color="auto" w:fill="FFFFFF"/>
        </w:rPr>
        <w:t>df</w:t>
      </w:r>
      <w:proofErr w:type="spellEnd"/>
      <w:r>
        <w:rPr>
          <w:rFonts w:eastAsia="Arial" w:cs="Calibri Light"/>
          <w:shd w:val="clear" w:color="auto" w:fill="FFFFFF"/>
        </w:rPr>
        <w:t xml:space="preserve"> = 2, </w:t>
      </w:r>
      <w:r>
        <w:rPr>
          <w:rFonts w:eastAsia="Arial" w:cs="Calibri Light"/>
          <w:i/>
          <w:shd w:val="clear" w:color="auto" w:fill="FFFFFF"/>
        </w:rPr>
        <w:t xml:space="preserve">p </w:t>
      </w:r>
      <w:r>
        <w:rPr>
          <w:rFonts w:eastAsia="Arial" w:cs="Calibri Light"/>
          <w:shd w:val="clear" w:color="auto" w:fill="FFFFFF"/>
        </w:rPr>
        <w:t>= .006), and Scholar AI (</w:t>
      </w:r>
      <w:r>
        <w:rPr>
          <w:rFonts w:eastAsia="Arial" w:cs="Calibri Light"/>
          <w:color w:val="000000"/>
        </w:rPr>
        <w:t>χ</w:t>
      </w:r>
      <w:r>
        <w:rPr>
          <w:rFonts w:eastAsia="Arial" w:cs="Calibri Light"/>
          <w:color w:val="000000"/>
          <w:vertAlign w:val="superscript"/>
        </w:rPr>
        <w:t xml:space="preserve">2 </w:t>
      </w:r>
      <w:r>
        <w:rPr>
          <w:rFonts w:eastAsia="Arial" w:cs="Calibri Light"/>
          <w:shd w:val="clear" w:color="auto" w:fill="FFFFFF"/>
        </w:rPr>
        <w:t xml:space="preserve">= 21.26, </w:t>
      </w:r>
      <w:proofErr w:type="spellStart"/>
      <w:r>
        <w:rPr>
          <w:rFonts w:eastAsia="Arial" w:cs="Calibri Light"/>
          <w:shd w:val="clear" w:color="auto" w:fill="FFFFFF"/>
        </w:rPr>
        <w:t>df</w:t>
      </w:r>
      <w:proofErr w:type="spellEnd"/>
      <w:r>
        <w:rPr>
          <w:rFonts w:eastAsia="Arial" w:cs="Calibri Light"/>
          <w:shd w:val="clear" w:color="auto" w:fill="FFFFFF"/>
        </w:rPr>
        <w:t xml:space="preserve"> = 2, </w:t>
      </w:r>
      <w:r>
        <w:rPr>
          <w:rFonts w:eastAsia="Arial" w:cs="Calibri Light"/>
          <w:i/>
          <w:shd w:val="clear" w:color="auto" w:fill="FFFFFF"/>
        </w:rPr>
        <w:t xml:space="preserve">p </w:t>
      </w:r>
      <w:r>
        <w:rPr>
          <w:rFonts w:eastAsia="Arial" w:cs="Calibri Light"/>
          <w:shd w:val="clear" w:color="auto" w:fill="FFFFFF"/>
        </w:rPr>
        <w:t xml:space="preserve">&lt; .001) </w:t>
      </w:r>
      <w:r>
        <w:rPr>
          <w:rFonts w:cs="Calibri Light"/>
        </w:rPr>
        <w:t>than undergraduate students. No significant differences were detected for Duolingo, Google Bard, or ChatGPT.</w:t>
      </w:r>
    </w:p>
    <w:p w14:paraId="22B77A2F" w14:textId="77777777" w:rsidR="00E73B4A" w:rsidRDefault="00000000">
      <w:pPr>
        <w:pStyle w:val="FigureNumber"/>
      </w:pPr>
      <w:r>
        <w:rPr>
          <w:rFonts w:eastAsia="Arial"/>
          <w:color w:val="000000"/>
          <w:shd w:val="clear" w:color="auto" w:fill="FFFFFF"/>
          <w:lang w:eastAsia="zh-CN" w:bidi="hi-IN"/>
        </w:rPr>
        <w:t xml:space="preserve">Figure </w:t>
      </w:r>
      <w:r>
        <w:rPr>
          <w:rFonts w:eastAsia="Arial"/>
          <w:shd w:val="clear" w:color="auto" w:fill="FFFFFF"/>
        </w:rPr>
        <w:t>5</w:t>
      </w:r>
    </w:p>
    <w:p w14:paraId="73D7339D" w14:textId="77777777" w:rsidR="00E73B4A" w:rsidRDefault="00000000">
      <w:pPr>
        <w:pStyle w:val="FigureTitle"/>
      </w:pPr>
      <w:r>
        <w:t>Correlation Between Each Information Area and Level of Education</w:t>
      </w:r>
    </w:p>
    <w:p w14:paraId="21E4065F" w14:textId="77777777" w:rsidR="00E73B4A" w:rsidRDefault="00000000">
      <w:pPr>
        <w:pStyle w:val="normal11"/>
        <w:spacing w:before="120" w:after="0"/>
        <w:rPr>
          <w:rFonts w:ascii="Arial" w:eastAsia="Arial" w:hAnsi="Arial" w:cs="Arial"/>
          <w:sz w:val="22"/>
          <w:szCs w:val="22"/>
        </w:rPr>
      </w:pPr>
      <w:r>
        <w:rPr>
          <w:rFonts w:ascii="Arial" w:eastAsia="Arial" w:hAnsi="Arial" w:cs="Arial"/>
          <w:noProof/>
          <w:sz w:val="22"/>
          <w:szCs w:val="22"/>
        </w:rPr>
        <w:drawing>
          <wp:anchor distT="0" distB="0" distL="0" distR="0" simplePos="0" relativeHeight="6" behindDoc="0" locked="0" layoutInCell="0" allowOverlap="1" wp14:anchorId="296F346B" wp14:editId="2A3AB029">
            <wp:simplePos x="0" y="0"/>
            <wp:positionH relativeFrom="column">
              <wp:posOffset>554355</wp:posOffset>
            </wp:positionH>
            <wp:positionV relativeFrom="paragraph">
              <wp:posOffset>187960</wp:posOffset>
            </wp:positionV>
            <wp:extent cx="4726940" cy="1675765"/>
            <wp:effectExtent l="0" t="0" r="0" b="0"/>
            <wp:wrapSquare wrapText="bothSides"/>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noChangeArrowheads="1"/>
                    </pic:cNvPicPr>
                  </pic:nvPicPr>
                  <pic:blipFill>
                    <a:blip r:embed="rId13"/>
                    <a:stretch>
                      <a:fillRect/>
                    </a:stretch>
                  </pic:blipFill>
                  <pic:spPr bwMode="auto">
                    <a:xfrm>
                      <a:off x="0" y="0"/>
                      <a:ext cx="4726940" cy="1675765"/>
                    </a:xfrm>
                    <a:prstGeom prst="rect">
                      <a:avLst/>
                    </a:prstGeom>
                    <a:noFill/>
                  </pic:spPr>
                </pic:pic>
              </a:graphicData>
            </a:graphic>
          </wp:anchor>
        </w:drawing>
      </w:r>
    </w:p>
    <w:p w14:paraId="43D53969" w14:textId="77777777" w:rsidR="00E73B4A" w:rsidRDefault="00E73B4A">
      <w:pPr>
        <w:pStyle w:val="normal11"/>
        <w:spacing w:before="120" w:after="0"/>
        <w:rPr>
          <w:rFonts w:ascii="Arial" w:eastAsia="Arial" w:hAnsi="Arial" w:cs="Arial"/>
          <w:sz w:val="22"/>
          <w:szCs w:val="22"/>
        </w:rPr>
      </w:pPr>
    </w:p>
    <w:p w14:paraId="6608553F" w14:textId="77777777" w:rsidR="00E73B4A" w:rsidRDefault="00E73B4A">
      <w:pPr>
        <w:pStyle w:val="normal11"/>
        <w:spacing w:before="120" w:after="0"/>
        <w:rPr>
          <w:rFonts w:ascii="Arial" w:eastAsia="Arial" w:hAnsi="Arial" w:cs="Arial"/>
          <w:sz w:val="22"/>
          <w:szCs w:val="22"/>
        </w:rPr>
      </w:pPr>
    </w:p>
    <w:p w14:paraId="68BB4580" w14:textId="77777777" w:rsidR="00E73B4A" w:rsidRDefault="00E73B4A">
      <w:pPr>
        <w:pStyle w:val="normal11"/>
        <w:spacing w:before="120" w:after="0"/>
        <w:rPr>
          <w:rFonts w:ascii="Arial" w:eastAsia="Arial" w:hAnsi="Arial" w:cs="Arial"/>
          <w:sz w:val="22"/>
          <w:szCs w:val="22"/>
        </w:rPr>
      </w:pPr>
    </w:p>
    <w:p w14:paraId="736623C0" w14:textId="77777777" w:rsidR="00E73B4A" w:rsidRDefault="00E73B4A">
      <w:pPr>
        <w:pStyle w:val="normal11"/>
        <w:spacing w:before="120" w:after="0"/>
        <w:rPr>
          <w:rFonts w:ascii="Arial" w:eastAsia="Arial" w:hAnsi="Arial" w:cs="Arial"/>
          <w:sz w:val="22"/>
          <w:szCs w:val="22"/>
        </w:rPr>
      </w:pPr>
    </w:p>
    <w:p w14:paraId="30767E4D" w14:textId="77777777" w:rsidR="00E73B4A" w:rsidRDefault="00E73B4A">
      <w:pPr>
        <w:pStyle w:val="normal11"/>
        <w:spacing w:before="238"/>
        <w:rPr>
          <w:rFonts w:ascii="Arial" w:eastAsia="Arial" w:hAnsi="Arial" w:cs="Arial"/>
          <w:sz w:val="22"/>
          <w:szCs w:val="22"/>
        </w:rPr>
      </w:pPr>
    </w:p>
    <w:p w14:paraId="4CD82C0F" w14:textId="77777777" w:rsidR="00E73B4A" w:rsidRDefault="00E73B4A">
      <w:pPr>
        <w:pStyle w:val="normal11"/>
        <w:spacing w:before="238"/>
        <w:rPr>
          <w:rFonts w:ascii="Arial" w:eastAsia="Arial" w:hAnsi="Arial" w:cs="Arial"/>
          <w:sz w:val="22"/>
          <w:szCs w:val="22"/>
          <w:shd w:val="clear" w:color="auto" w:fill="FFFFFF"/>
        </w:rPr>
      </w:pPr>
    </w:p>
    <w:p w14:paraId="1C1F1E5B" w14:textId="77777777" w:rsidR="00E73B4A" w:rsidRDefault="00000000">
      <w:pPr>
        <w:pStyle w:val="Heading1"/>
      </w:pPr>
      <w:r>
        <w:rPr>
          <w:rFonts w:eastAsia="NSimSun" w:cs="Lucida Sans"/>
          <w:color w:val="000000"/>
          <w:shd w:val="clear" w:color="auto" w:fill="FFFFFF"/>
          <w:lang w:bidi="hi-IN"/>
        </w:rPr>
        <w:lastRenderedPageBreak/>
        <w:t>Discussion</w:t>
      </w:r>
    </w:p>
    <w:p w14:paraId="70DC59E7" w14:textId="77777777" w:rsidR="00E73B4A" w:rsidRDefault="00000000">
      <w:r>
        <w:t>The main objective of this research was to identify the factors that most influence the use of AI in the studies of students in the humanities, social sciences, and teacher education. Four research hypotheses were formulated to investigate the influence of type of education, gender, field of education and level of education. The main findings of this research are as follows:</w:t>
      </w:r>
    </w:p>
    <w:p w14:paraId="5071F2BF" w14:textId="77777777" w:rsidR="00E73B4A" w:rsidRDefault="00000000">
      <w:pPr>
        <w:pStyle w:val="Heading2"/>
      </w:pPr>
      <w:r>
        <w:rPr>
          <w:shd w:val="clear" w:color="auto" w:fill="FFFFFF"/>
        </w:rPr>
        <w:t xml:space="preserve">Verified </w:t>
      </w:r>
      <w:r>
        <w:rPr>
          <w:rFonts w:eastAsia="NSimSun" w:cs="Lucida Sans"/>
          <w:color w:val="000000"/>
          <w:shd w:val="clear" w:color="auto" w:fill="FFFFFF"/>
          <w:lang w:bidi="hi-IN"/>
        </w:rPr>
        <w:t>Main G</w:t>
      </w:r>
      <w:r>
        <w:rPr>
          <w:shd w:val="clear" w:color="auto" w:fill="FFFFFF"/>
        </w:rPr>
        <w:t>ender differences in AI use</w:t>
      </w:r>
    </w:p>
    <w:p w14:paraId="3E7A5E95" w14:textId="77777777" w:rsidR="00E73B4A" w:rsidRDefault="00000000">
      <w:r>
        <w:t>Men are more likely to use AI devices (i.e. more than one type of device) and have tried more of the devices we surveyed than women. However, the (desired) scope of AI use is more extensive for women than for men. Of the areas we examined, we found differences in language learning and personalised interactive learning materials, with the former being more desired by women and the latter by men.</w:t>
      </w:r>
    </w:p>
    <w:p w14:paraId="778B41C2" w14:textId="77777777" w:rsidR="00E73B4A" w:rsidRDefault="00000000">
      <w:r>
        <w:rPr>
          <w:rFonts w:eastAsia="Arial"/>
        </w:rPr>
        <w:t xml:space="preserve">Women are more likely to have several factors that inhibit the use of AI. Analysing the factors we examined one by </w:t>
      </w:r>
      <w:proofErr w:type="gramStart"/>
      <w:r>
        <w:rPr>
          <w:rFonts w:eastAsia="Arial"/>
        </w:rPr>
        <w:t>one,</w:t>
      </w:r>
      <w:proofErr w:type="gramEnd"/>
      <w:r>
        <w:rPr>
          <w:rFonts w:eastAsia="Arial"/>
        </w:rPr>
        <w:t xml:space="preserve"> we found that lack of knowledge of AI and lack of technical tools are more likely to occur in women. Due to the numerous gender differences in the use of AI, hypothesis </w:t>
      </w:r>
      <w:r>
        <w:t>H1 “Male students are more likely to use AI than females”</w:t>
      </w:r>
      <w:r>
        <w:rPr>
          <w:rFonts w:eastAsia="Arial"/>
        </w:rPr>
        <w:t xml:space="preserve"> is accepted. Several studies examining gender differences in AI use have found similar results (Howington, 2023; Møgelvang et al., 2024; </w:t>
      </w:r>
      <w:r>
        <w:rPr>
          <w:rFonts w:eastAsia="Arial"/>
          <w:color w:val="222222"/>
        </w:rPr>
        <w:t xml:space="preserve">Møgelvang </w:t>
      </w:r>
      <w:r>
        <w:rPr>
          <w:rFonts w:eastAsia="Arial"/>
        </w:rPr>
        <w:t xml:space="preserve">&amp; </w:t>
      </w:r>
      <w:r>
        <w:rPr>
          <w:rFonts w:eastAsia="Arial"/>
          <w:color w:val="222222"/>
        </w:rPr>
        <w:t>Grassini, 2024</w:t>
      </w:r>
      <w:r>
        <w:rPr>
          <w:rFonts w:eastAsia="Arial"/>
        </w:rPr>
        <w:t xml:space="preserve">; Stöhr et al., 2024; </w:t>
      </w:r>
      <w:r>
        <w:rPr>
          <w:rFonts w:eastAsia="Arial"/>
          <w:shd w:val="clear" w:color="auto" w:fill="FFFFFF"/>
        </w:rPr>
        <w:t xml:space="preserve">Ofosu-Ampong, 2023; </w:t>
      </w:r>
      <w:proofErr w:type="spellStart"/>
      <w:r>
        <w:rPr>
          <w:rFonts w:eastAsia="Arial"/>
          <w:shd w:val="clear" w:color="auto" w:fill="FFFFFF"/>
        </w:rPr>
        <w:t>Fihris</w:t>
      </w:r>
      <w:proofErr w:type="spellEnd"/>
      <w:r>
        <w:rPr>
          <w:rFonts w:eastAsia="Arial"/>
          <w:shd w:val="clear" w:color="auto" w:fill="FFFFFF"/>
        </w:rPr>
        <w:t xml:space="preserve"> et al., 2024</w:t>
      </w:r>
      <w:r>
        <w:rPr>
          <w:rFonts w:eastAsia="Arial"/>
        </w:rPr>
        <w:t>).</w:t>
      </w:r>
    </w:p>
    <w:p w14:paraId="3466A231" w14:textId="77777777" w:rsidR="00E73B4A" w:rsidRDefault="00000000">
      <w:r>
        <w:rPr>
          <w:rFonts w:eastAsia="Arial"/>
          <w:shd w:val="clear" w:color="auto" w:fill="FFFFFF"/>
        </w:rPr>
        <w:t xml:space="preserve">The reason behind this, according to an AI expert (Costa, 2023), is that the fields of science, technology, engineering, and mathematics have traditionally been dominated by men, and the skills needed to use AI are rooted in their use. Consequently, women are less confident in using AI tools. Although many AI-based tools do not require technical skills, many women do not consider themselves technically skilled enough to experiment with them. On the other hand, AI is still seen by many people as being in the world of science fiction, which is traditionally a male domain. In addition, there are psychological reasons: the typical thinking and behaviour of women also discourage them from using AI: women tend to start using a tool only when they have a high level of related skills. In contrast, men are willing to experiment even without expertise (Costa, 2023). </w:t>
      </w:r>
      <w:r>
        <w:rPr>
          <w:rFonts w:eastAsia="Arial"/>
        </w:rPr>
        <w:t>However, it is also important to note that there are research reports in the literature where there was no significant difference between the two genders (</w:t>
      </w:r>
      <w:proofErr w:type="spellStart"/>
      <w:r>
        <w:rPr>
          <w:rFonts w:eastAsia="Arial"/>
        </w:rPr>
        <w:t>Arowosegbe</w:t>
      </w:r>
      <w:proofErr w:type="spellEnd"/>
      <w:r>
        <w:rPr>
          <w:rFonts w:eastAsia="Arial"/>
        </w:rPr>
        <w:t xml:space="preserve"> et al., 2024; Iddrisu et al., 2025). </w:t>
      </w:r>
    </w:p>
    <w:p w14:paraId="60690F3C" w14:textId="77777777" w:rsidR="00E73B4A" w:rsidRDefault="00000000">
      <w:pPr>
        <w:pStyle w:val="Heading2"/>
      </w:pPr>
      <w:r>
        <w:rPr>
          <w:shd w:val="clear" w:color="auto" w:fill="FFFFFF"/>
        </w:rPr>
        <w:t>Verified educational differences in AI use</w:t>
      </w:r>
    </w:p>
    <w:p w14:paraId="397A5E0B" w14:textId="77777777" w:rsidR="00E73B4A" w:rsidRDefault="00000000">
      <w:r>
        <w:t>Full-time students have been exposed to the concept of AI more widely (in more areas) than correspondence students. In terms of resources, we found that full-time students were more likely to be informed by a peer and by university course material than correspondence students. Full-time students are also more likely to have used AI tools more extensively, i.e., they have tried/used more AI tools during their studies.</w:t>
      </w:r>
    </w:p>
    <w:p w14:paraId="26769F65" w14:textId="77777777" w:rsidR="00E73B4A" w:rsidRDefault="00000000">
      <w:r>
        <w:rPr>
          <w:rFonts w:eastAsia="Arial"/>
          <w:lang w:eastAsia="zh-CN" w:bidi="hi-IN"/>
        </w:rPr>
        <w:t>The above results may be explained by the fact that 77.6% of full-time students belong to the younger age group of 18-22 years (while the share of those aged 30+ is negligible) and the high share of those not working while studying (45.1%</w:t>
      </w:r>
      <w:r>
        <w:rPr>
          <w:rFonts w:eastAsia="Arial"/>
        </w:rPr>
        <w:t xml:space="preserve">) and those in the same age group working part-time while studying (30.7%). In contrast, among correspondence students, the proportion of those over 30 years old (69.1%) and those working full-time alongside their studies (82.8%) is very high. Relationship issues were excluded from the questionnaire; however, the age distribution means </w:t>
      </w:r>
      <w:r>
        <w:rPr>
          <w:rFonts w:eastAsia="Arial"/>
        </w:rPr>
        <w:lastRenderedPageBreak/>
        <w:t>that the proportion of students in long-term relationships, married or with children, may be significantly higher among correspondence students. As a result, they are likely to have much less time than their full-time counterparts to immerse themselves in their studies and explore new technological opportunities related to their studies. In addition, due to the lower number of hours, they have less contact with the educational institution and less contact with each other and their teachers, which may result in their being less informed about new developments and challenges in their studies, especially at the beginning of the semester, and less able to obtain relevant information from each other and their teachers. Therefore, these factors may have an impact on their attitudes toward, sources of information, and experiences with AI tools.</w:t>
      </w:r>
    </w:p>
    <w:p w14:paraId="2FCD9F8A" w14:textId="77777777" w:rsidR="00E73B4A" w:rsidRDefault="00000000">
      <w:r>
        <w:t xml:space="preserve">In the case of full-time students, the (desired) field of application of AI is also more extensive (i.e. full-time students use AI tools in more areas during their studies), but several of the desired fields of application we examined (such as the collection of materials, the preparation of presentations, illustrative material, personalised interactive learning materials, virtual teachers, simulation teaching materials and the preparation of essays and theses) were indicated by a higher proportion of correspondence students than full-time students. The sociodemographic characteristics of correspondence students, as previously described, may account for their openness. Specifically, a substantial portion of these students balance university studies with work and family responsibilities, significantly complicating their lives. Conversely, their limited participation in higher education hinders their ability to assimilate acquired knowledge. They are receptive to any assistance that facilitates the fulfilment of their academic obligations. Furthermore, a knowledge deficit is evident in many of their responses. The necessity for education on the ethical utilisation of AI is underscored by the fact that half of the respondents in correspondence courses would employ AI tools for the preparation of papers and theses. </w:t>
      </w:r>
    </w:p>
    <w:p w14:paraId="7E6E2D4C" w14:textId="77777777" w:rsidR="00E73B4A" w:rsidRDefault="00000000">
      <w:r>
        <w:t xml:space="preserve">No differences were observed in the number of barriers to AI use between the types of Education. However, when examining the individual barriers, it was discovered that the correspondence students were more hindered by their lack of knowledge of AI and the lack of technical tools to use it than the full-time students. This may be due to the generational factors mentioned earlier. Full-time students have a higher proportion of 18-22-year-olds who are more up-to-date, probably with financial support from their parents. </w:t>
      </w:r>
    </w:p>
    <w:p w14:paraId="63CCB757" w14:textId="77777777" w:rsidR="00E73B4A" w:rsidRDefault="00000000">
      <w:r>
        <w:t xml:space="preserve">Privacy, ethical concerns, and the inability to finance paid tools are more prevalent among full-time students. For full-time students, more sensitive privacy and ethical concerns may also occur because they have a more intensive relationship with the educational institution and teachers, possibly building stronger loyalty and more time to immerse themselves in the relevant literature, thus having a better understanding of the issues involved in the use of AI tools. </w:t>
      </w:r>
      <w:proofErr w:type="gramStart"/>
      <w:r>
        <w:t>The majority of</w:t>
      </w:r>
      <w:proofErr w:type="gramEnd"/>
      <w:r>
        <w:t xml:space="preserve"> full-time students have a more limited income compared to their correspondence peers (52.5% are not working compared to only 8.5% of correspondence students), so there is a correspondingly higher proportion of those who found it problematic to subscribe to premium AI tools.</w:t>
      </w:r>
    </w:p>
    <w:p w14:paraId="3FA272AD" w14:textId="77777777" w:rsidR="00E73B4A" w:rsidRDefault="00000000">
      <w:r>
        <w:rPr>
          <w:rFonts w:eastAsia="Arial"/>
          <w:color w:val="000000"/>
          <w:shd w:val="clear" w:color="auto" w:fill="FFFFFF"/>
          <w:lang w:eastAsia="zh-CN" w:bidi="hi-IN"/>
        </w:rPr>
        <w:t xml:space="preserve">For several aspects of AI use, we identified differences in the type of education, and therefore hypothesis </w:t>
      </w:r>
      <w:r>
        <w:rPr>
          <w:rFonts w:eastAsia="Arial"/>
        </w:rPr>
        <w:t xml:space="preserve">H2 “Full-time </w:t>
      </w:r>
      <w:r>
        <w:t xml:space="preserve">students are more likely to use AI than </w:t>
      </w:r>
      <w:r>
        <w:rPr>
          <w:rFonts w:eastAsia="Arial"/>
        </w:rPr>
        <w:t xml:space="preserve">correspondence </w:t>
      </w:r>
      <w:r>
        <w:t xml:space="preserve">students” </w:t>
      </w:r>
      <w:r>
        <w:rPr>
          <w:rFonts w:eastAsia="Arial"/>
          <w:color w:val="000000"/>
          <w:shd w:val="clear" w:color="auto" w:fill="FFFFFF"/>
          <w:lang w:eastAsia="zh-CN" w:bidi="hi-IN"/>
        </w:rPr>
        <w:t xml:space="preserve">was accepted. </w:t>
      </w:r>
      <w:r>
        <w:t xml:space="preserve">Key Findings and Conclusions in the Students in the humanities and social sciences use more AI tools than students in teacher education. Notable differences are that more students in the social sciences (compared to students in teacher education) have used ChatGPT and Duolingo, while more students in humanities (compared to students in teacher education) have </w:t>
      </w:r>
      <w:r>
        <w:lastRenderedPageBreak/>
        <w:t xml:space="preserve">used </w:t>
      </w:r>
      <w:proofErr w:type="spellStart"/>
      <w:r>
        <w:t>Deepl</w:t>
      </w:r>
      <w:proofErr w:type="spellEnd"/>
      <w:r>
        <w:t xml:space="preserve"> and Grammarly. The above results may be explained by the fact that many of the students in the sample in the field of teacher education are studying for a degree in preschool teacher education and teacher training, where the age range may make the presence of AI in the curriculum and teaching less prominent. In addition, the requirements of the other two fields of study have a stronger demand for foreign language use: among the humanities graduates in the sample, there is a high proportion of modern foreign language majors (31.3%), as well as a high proportion of psychology majors (31.6%), where foreign language requirements are also quite high.</w:t>
      </w:r>
    </w:p>
    <w:p w14:paraId="56162A2B" w14:textId="77777777" w:rsidR="00E73B4A" w:rsidRDefault="00000000">
      <w:r>
        <w:rPr>
          <w:rFonts w:eastAsia="Arial"/>
          <w:color w:val="000000"/>
          <w:lang w:eastAsia="zh-CN" w:bidi="hi-IN"/>
        </w:rPr>
        <w:t xml:space="preserve">These partial results are partially consistent with the findings of Møgelvang &amp; Grassini (2024), Stöhr et al. (2024), Nguyen et al. (2024), and Zhou et al. (2024). </w:t>
      </w:r>
      <w:r>
        <w:rPr>
          <w:rFonts w:eastAsia="Arial"/>
          <w:lang w:eastAsia="zh-CN" w:bidi="hi-IN"/>
        </w:rPr>
        <w:t>And, although differences were found in the field of education for the Extent of Device Use and Used/Tested Tools, no differences were found for the other aspects of AI use examined. Thus, hypothesis H3, "</w:t>
      </w:r>
      <w:r>
        <w:rPr>
          <w:rFonts w:eastAsia="Arial"/>
        </w:rPr>
        <w:t xml:space="preserve">Students in the humanities and social sciences </w:t>
      </w:r>
      <w:r>
        <w:t xml:space="preserve">are more likely to use AI </w:t>
      </w:r>
      <w:r>
        <w:rPr>
          <w:rFonts w:eastAsia="Arial"/>
        </w:rPr>
        <w:t>than students in teacher education</w:t>
      </w:r>
      <w:r>
        <w:rPr>
          <w:rFonts w:eastAsia="Arial"/>
          <w:lang w:eastAsia="zh-CN" w:bidi="hi-IN"/>
        </w:rPr>
        <w:t xml:space="preserve">", is only partially accepted. </w:t>
      </w:r>
      <w:r>
        <w:rPr>
          <w:rFonts w:eastAsia="Arial"/>
        </w:rPr>
        <w:t>This area needs further investigation.</w:t>
      </w:r>
    </w:p>
    <w:p w14:paraId="2B5C8CDD" w14:textId="77777777" w:rsidR="00E73B4A" w:rsidRDefault="00000000">
      <w:r>
        <w:rPr>
          <w:rFonts w:eastAsia="Arial"/>
          <w:lang w:eastAsia="zh-CN" w:bidi="hi-IN"/>
        </w:rPr>
        <w:t>Master’s, undivided training, and PhD students also have a wider range of knowledge and tools.</w:t>
      </w:r>
      <w:r>
        <w:rPr>
          <w:rFonts w:eastAsia="Arial"/>
          <w:color w:val="000000"/>
          <w:shd w:val="clear" w:color="auto" w:fill="FFFFFF"/>
          <w:lang w:eastAsia="zh-CN" w:bidi="hi-IN"/>
        </w:rPr>
        <w:t xml:space="preserve"> Among the various sources of information examined, other sources of learning and peers as sources of information are more prevalent among bachelor’s students than undivided training, master’s, and PhD programs. Among the tools we have examined, Bing, </w:t>
      </w:r>
      <w:proofErr w:type="spellStart"/>
      <w:r>
        <w:rPr>
          <w:rFonts w:eastAsia="Arial"/>
          <w:color w:val="000000"/>
          <w:shd w:val="clear" w:color="auto" w:fill="FFFFFF"/>
          <w:lang w:eastAsia="zh-CN" w:bidi="hi-IN"/>
        </w:rPr>
        <w:t>Deepl</w:t>
      </w:r>
      <w:proofErr w:type="spellEnd"/>
      <w:r>
        <w:rPr>
          <w:rFonts w:eastAsia="Arial"/>
          <w:color w:val="000000"/>
          <w:shd w:val="clear" w:color="auto" w:fill="FFFFFF"/>
          <w:lang w:eastAsia="zh-CN" w:bidi="hi-IN"/>
        </w:rPr>
        <w:t xml:space="preserve">, and Grammarly </w:t>
      </w:r>
      <w:r>
        <w:rPr>
          <w:rFonts w:eastAsia="Arial"/>
          <w:lang w:eastAsia="zh-CN" w:bidi="hi-IN"/>
        </w:rPr>
        <w:t xml:space="preserve">have been used more by undivided, Master’ and PhD students than by their undergraduate counterparts. This is </w:t>
      </w:r>
      <w:proofErr w:type="gramStart"/>
      <w:r>
        <w:rPr>
          <w:rFonts w:eastAsia="Arial"/>
          <w:lang w:eastAsia="zh-CN" w:bidi="hi-IN"/>
        </w:rPr>
        <w:t>similar to</w:t>
      </w:r>
      <w:proofErr w:type="gramEnd"/>
      <w:r>
        <w:rPr>
          <w:rFonts w:eastAsia="Arial"/>
          <w:lang w:eastAsia="zh-CN" w:bidi="hi-IN"/>
        </w:rPr>
        <w:t xml:space="preserve"> the results obtained by</w:t>
      </w:r>
      <w:r>
        <w:rPr>
          <w:rFonts w:eastAsia="Arial"/>
        </w:rPr>
        <w:t xml:space="preserve"> </w:t>
      </w:r>
      <w:proofErr w:type="spellStart"/>
      <w:r>
        <w:rPr>
          <w:rFonts w:eastAsia="Arial"/>
          <w:color w:val="000000"/>
          <w:lang w:val="hu-HU" w:bidi="hi-IN"/>
        </w:rPr>
        <w:t>Arowosegbe</w:t>
      </w:r>
      <w:proofErr w:type="spellEnd"/>
      <w:r>
        <w:rPr>
          <w:rFonts w:eastAsia="Arial"/>
          <w:color w:val="000000"/>
          <w:lang w:val="hu-HU" w:bidi="hi-IN"/>
        </w:rPr>
        <w:t xml:space="preserve"> </w:t>
      </w:r>
      <w:proofErr w:type="spellStart"/>
      <w:r>
        <w:rPr>
          <w:rFonts w:eastAsia="Arial"/>
          <w:color w:val="000000"/>
          <w:lang w:val="hu-HU" w:bidi="hi-IN"/>
        </w:rPr>
        <w:t>et</w:t>
      </w:r>
      <w:proofErr w:type="spellEnd"/>
      <w:r>
        <w:rPr>
          <w:rFonts w:eastAsia="Arial"/>
          <w:color w:val="000000"/>
          <w:lang w:val="hu-HU" w:bidi="hi-IN"/>
        </w:rPr>
        <w:t xml:space="preserve"> </w:t>
      </w:r>
      <w:proofErr w:type="spellStart"/>
      <w:r>
        <w:rPr>
          <w:rFonts w:eastAsia="Arial"/>
          <w:color w:val="000000"/>
          <w:lang w:val="hu-HU" w:bidi="hi-IN"/>
        </w:rPr>
        <w:t>al</w:t>
      </w:r>
      <w:proofErr w:type="spellEnd"/>
      <w:r>
        <w:rPr>
          <w:rFonts w:eastAsia="Arial"/>
          <w:color w:val="000000"/>
          <w:lang w:val="hu-HU" w:bidi="hi-IN"/>
        </w:rPr>
        <w:t xml:space="preserve">. (2024) </w:t>
      </w:r>
      <w:r>
        <w:rPr>
          <w:rFonts w:eastAsia="Arial"/>
          <w:color w:val="000000"/>
          <w:lang w:eastAsia="zh-CN" w:bidi="hi-IN"/>
        </w:rPr>
        <w:t>and</w:t>
      </w:r>
      <w:r>
        <w:rPr>
          <w:rFonts w:eastAsia="Arial"/>
        </w:rPr>
        <w:t xml:space="preserve"> </w:t>
      </w:r>
      <w:proofErr w:type="spellStart"/>
      <w:r>
        <w:rPr>
          <w:rFonts w:eastAsia="Arial"/>
          <w:color w:val="000000"/>
          <w:lang w:val="hu-HU" w:bidi="hi-IN"/>
        </w:rPr>
        <w:t>Strzelecki</w:t>
      </w:r>
      <w:proofErr w:type="spellEnd"/>
      <w:r>
        <w:rPr>
          <w:rFonts w:eastAsia="Arial"/>
          <w:color w:val="000000"/>
          <w:lang w:val="hu-HU" w:bidi="hi-IN"/>
        </w:rPr>
        <w:t xml:space="preserve"> &amp; </w:t>
      </w:r>
      <w:proofErr w:type="spellStart"/>
      <w:r>
        <w:rPr>
          <w:rFonts w:eastAsia="Arial"/>
          <w:color w:val="000000"/>
          <w:lang w:val="hu-HU" w:bidi="hi-IN"/>
        </w:rPr>
        <w:t>ElArabawy</w:t>
      </w:r>
      <w:proofErr w:type="spellEnd"/>
      <w:r>
        <w:rPr>
          <w:rFonts w:eastAsia="Arial"/>
          <w:color w:val="000000"/>
          <w:lang w:val="hu-HU" w:bidi="hi-IN"/>
        </w:rPr>
        <w:t xml:space="preserve"> (2024)</w:t>
      </w:r>
      <w:r>
        <w:rPr>
          <w:rFonts w:eastAsia="Arial"/>
          <w:lang w:eastAsia="zh-CN" w:bidi="hi-IN"/>
        </w:rPr>
        <w:t xml:space="preserve"> </w:t>
      </w:r>
      <w:r>
        <w:rPr>
          <w:rFonts w:eastAsia="Arial"/>
        </w:rPr>
        <w:t>in their study of the effect of level of education.</w:t>
      </w:r>
    </w:p>
    <w:p w14:paraId="1894BA94" w14:textId="77777777" w:rsidR="00E73B4A" w:rsidRDefault="00000000">
      <w:r>
        <w:rPr>
          <w:rFonts w:eastAsia="Arial"/>
          <w:lang w:eastAsia="zh-CN" w:bidi="hi-IN"/>
        </w:rPr>
        <w:t xml:space="preserve">However, in the analysis, it is worth bearing in mind that 58.6% of the undergraduate students were first-year students, so most of them are likely to be recent high school graduates. Due to the requirements of secondary school, they probably did not have access to AI tools before, and probably not during their university studies, as the data were collected in the first weeks of the first semester in autumn 2023. Differences were found in the Extent of Awareness, Sources of Awareness, Extent of Device Use and Used/Tested Tools in the level of education. No differences were found for the other aspects of AI use examined. </w:t>
      </w:r>
      <w:r>
        <w:rPr>
          <w:rFonts w:eastAsia="Arial"/>
        </w:rPr>
        <w:t>Thus, hypothesis H4, "</w:t>
      </w:r>
      <w:r>
        <w:t>MA and higher degree students are more likely to use AI than BA students</w:t>
      </w:r>
      <w:r>
        <w:rPr>
          <w:rFonts w:eastAsia="Arial"/>
          <w:lang w:eastAsia="zh-CN" w:bidi="hi-IN"/>
        </w:rPr>
        <w:t>", is only partially accepted. This area requires further investigation.</w:t>
      </w:r>
    </w:p>
    <w:p w14:paraId="1CC66D66" w14:textId="77777777" w:rsidR="00E73B4A" w:rsidRDefault="00000000">
      <w:pPr>
        <w:pStyle w:val="Heading1"/>
      </w:pPr>
      <w:r>
        <w:t>Conclusions</w:t>
      </w:r>
    </w:p>
    <w:p w14:paraId="035FAD49" w14:textId="77777777" w:rsidR="00E73B4A" w:rsidRDefault="00000000">
      <w:r>
        <w:t>The findings of our research indicate that there are differences between certain groups of students (by type of education, gender, level of education, and field of education) in terms of awareness, the tools used, the areas of use, and the barriers to use. It is of paramount importance to consider these findings when deepening the integration of AI tools in higher education, adapting and developing educational frameworks, and addressing ethical and privacy concerns (formulating strategies and recommendations, and integrating them into curricula). This will ensure that all student groups are fully aware of the expectations and challenges related to the responsible use of tools. Furthermore, our findings can inform the development of strategies to enhance technological access and equal opportunities (e.g., support for student groups facing financial constraints). The research findings can offer significant insights for future educational advancement, technological investment, and equitable opportunities across both genders and types of education.</w:t>
      </w:r>
    </w:p>
    <w:p w14:paraId="08878B16" w14:textId="77777777" w:rsidR="00E73B4A" w:rsidRDefault="00000000">
      <w:r>
        <w:rPr>
          <w:rFonts w:eastAsia="Arial"/>
          <w:color w:val="000000"/>
          <w:lang w:eastAsia="zh-CN" w:bidi="hi-IN"/>
        </w:rPr>
        <w:lastRenderedPageBreak/>
        <w:t>Firstly, these differences provide an opportunity for higher education institutions to develop targeted strategies to better integrate AI tools into the learning process. For example, if certain groups of students are less aware of the potential of AI, specific training, workshops and outreach programs can be organised for them. This can reduce the information gap and increase equal opportunities among students.</w:t>
      </w:r>
    </w:p>
    <w:p w14:paraId="52EF7BFF" w14:textId="77777777" w:rsidR="00E73B4A" w:rsidRDefault="00000000">
      <w:r>
        <w:t>Secondly, identifying differences can help educators and university policymakers to develop tailored teaching methods and curricula. If, for example, the use of AI is less widespread in certain fields of study (e.g. humanities) and more common in others (e.g. computer science), institutions may consider introducing AI-based tools in traditionally less-affected fields.</w:t>
      </w:r>
      <w:r>
        <w:br/>
        <w:t>Third, identifying barriers can help universities to plan targeted interventions. For example, if the main barrier is the lack of technological background, institutions can invest in infrastructure development. And if student attitudes or lack of confidence are the barrier, awareness-raising campaigns and demonstrations of good practice can be a solution.</w:t>
      </w:r>
      <w:r>
        <w:br/>
        <w:t xml:space="preserve">Finally, the results of this research can contribute to making higher education institutions more competitive in the digital age. Promoting the use of AI can not only improve the learning experience of students but also increase the quality and efficiency of education. Institutions can also better adapt to the needs of the labour market, as learning to use AI tools is a key skill for the future labour market. </w:t>
      </w:r>
    </w:p>
    <w:p w14:paraId="4874B788" w14:textId="77777777" w:rsidR="00E73B4A" w:rsidRDefault="00000000">
      <w:r>
        <w:t>Overall, therefore, the identification of differences offers the opportunity to further improve higher education systems, increase inclusiveness and better disseminate AI-based learning solutions, thereby enabling students to become more successful and better-prepared professionals in the digital age.</w:t>
      </w:r>
    </w:p>
    <w:p w14:paraId="40B1CAB3" w14:textId="77777777" w:rsidR="00E73B4A" w:rsidRDefault="00000000">
      <w:pPr>
        <w:pStyle w:val="Heading2"/>
      </w:pPr>
      <w:r>
        <w:t>Limitations and Future Research Directions</w:t>
      </w:r>
    </w:p>
    <w:p w14:paraId="7FBA1D40" w14:textId="77777777" w:rsidR="00E73B4A" w:rsidRDefault="00000000">
      <w:r>
        <w:t>A limitation of the research is that the sampling was non-random, so our results were not necessarily representative of a wider population. Furthermore, the online questionnaire may have introduced bias: its implementation could influence the demographic mix of respondents, potentially due to technical affinity or accessibility, although the latter is diminishing in significance as technology proliferates.  Self-reporting can lead to a self-selection effect, which can distort the results: it can over-represent those who are heavy AI users or those who are strongly against AI. Other drawbacks include the predefined response options used in the questionnaire, which may have influenced respondents. A further limitation is that the research was conducted using only quantitative methods, qualitative aspects of the research, such as deeper motivations for using AI tools and the role of educational institutions, were explored in limited depth. This limitation requires further research.</w:t>
      </w:r>
    </w:p>
    <w:p w14:paraId="2201137E" w14:textId="77777777" w:rsidR="00E73B4A" w:rsidRDefault="00000000">
      <w:r>
        <w:rPr>
          <w:rFonts w:eastAsia="Arial"/>
          <w:lang w:eastAsia="zh-CN" w:bidi="hi-IN"/>
        </w:rPr>
        <w:t xml:space="preserve">Our research provides only a snapshot, but a longitudinal study could help to explore how students' attitudes and usage patterns towards AI evolve as their studies progress, and what factors influence the long-term integration of technology into their learning processes. </w:t>
      </w:r>
      <w:r>
        <w:rPr>
          <w:rFonts w:eastAsia="Arial"/>
          <w:color w:val="000000"/>
          <w:lang w:eastAsia="zh-CN" w:bidi="hi-IN"/>
        </w:rPr>
        <w:t xml:space="preserve">Since the research focused on the humanities, social sciences, and teacher education, it is worth further exploring the extent to which AI can be integrated into these courses and what pedagogical strategies can help these students to successfully use AI. The results of the research showed </w:t>
      </w:r>
      <w:proofErr w:type="spellStart"/>
      <w:r>
        <w:rPr>
          <w:rFonts w:eastAsia="Arial"/>
          <w:color w:val="000000"/>
          <w:lang w:eastAsia="zh-CN" w:bidi="hi-IN"/>
        </w:rPr>
        <w:t>hat</w:t>
      </w:r>
      <w:proofErr w:type="spellEnd"/>
      <w:r>
        <w:rPr>
          <w:rFonts w:eastAsia="Arial"/>
          <w:color w:val="000000"/>
          <w:lang w:eastAsia="zh-CN" w:bidi="hi-IN"/>
        </w:rPr>
        <w:t xml:space="preserve"> access to AI is not equal for all groups of students. Further research is needed to explore what institutional support can help integrate AI tools into higher education ethically and inclusively.</w:t>
      </w:r>
    </w:p>
    <w:p w14:paraId="1E558A30" w14:textId="77777777" w:rsidR="00E73B4A" w:rsidRDefault="00000000">
      <w:pPr>
        <w:pStyle w:val="Heading1"/>
        <w:spacing w:after="119"/>
      </w:pPr>
      <w:r>
        <w:rPr>
          <w:rFonts w:eastAsia="NSimSun" w:cs="Lucida Sans"/>
          <w:lang w:bidi="hi-IN"/>
        </w:rPr>
        <w:lastRenderedPageBreak/>
        <w:t>Acknowledgements</w:t>
      </w:r>
    </w:p>
    <w:p w14:paraId="52A31CDE" w14:textId="77777777" w:rsidR="00E73B4A" w:rsidRDefault="00000000">
      <w:r>
        <w:rPr>
          <w:rFonts w:eastAsia="Arial"/>
          <w:color w:val="000000"/>
          <w:shd w:val="clear" w:color="auto" w:fill="FFFFFF"/>
          <w:lang w:eastAsia="zh-CN" w:bidi="hi-IN"/>
        </w:rPr>
        <w:t xml:space="preserve">The authors disclose that they have no actual or perceived conflicts of interest, nor have they received any funding for this manuscript beyond resourcing for academic time at their respective universities. </w:t>
      </w:r>
      <w:r>
        <w:rPr>
          <w:rFonts w:eastAsia="Arial"/>
          <w:lang w:eastAsia="zh-CN" w:bidi="hi-IN"/>
        </w:rPr>
        <w:t xml:space="preserve">The authors utilised ChatGPT, </w:t>
      </w:r>
      <w:proofErr w:type="spellStart"/>
      <w:r>
        <w:rPr>
          <w:rFonts w:eastAsia="Arial"/>
          <w:lang w:eastAsia="zh-CN" w:bidi="hi-IN"/>
        </w:rPr>
        <w:t>Deepl</w:t>
      </w:r>
      <w:proofErr w:type="spellEnd"/>
      <w:r>
        <w:rPr>
          <w:rFonts w:eastAsia="Arial"/>
          <w:lang w:eastAsia="zh-CN" w:bidi="hi-IN"/>
        </w:rPr>
        <w:t xml:space="preserve"> and Grammarly as proofreading tools to identify spelling, grammar, and syntax errors in the revised version of the paper. </w:t>
      </w:r>
      <w:r>
        <w:rPr>
          <w:rFonts w:eastAsia="Arial"/>
          <w:color w:val="000000"/>
          <w:lang w:eastAsia="zh-CN" w:bidi="hi-IN"/>
        </w:rPr>
        <w:t xml:space="preserve">The authors list the following </w:t>
      </w:r>
      <w:proofErr w:type="spellStart"/>
      <w:r>
        <w:rPr>
          <w:rFonts w:eastAsia="Arial"/>
          <w:color w:val="000000"/>
          <w:lang w:eastAsia="zh-CN" w:bidi="hi-IN"/>
        </w:rPr>
        <w:t>CRediT</w:t>
      </w:r>
      <w:proofErr w:type="spellEnd"/>
      <w:r>
        <w:rPr>
          <w:rFonts w:eastAsia="Arial"/>
          <w:color w:val="000000"/>
          <w:lang w:eastAsia="zh-CN" w:bidi="hi-IN"/>
        </w:rPr>
        <w:t xml:space="preserve"> contributions: </w:t>
      </w:r>
      <w:r>
        <w:rPr>
          <w:rFonts w:eastAsia="Arial"/>
          <w:b/>
          <w:bCs/>
          <w:color w:val="000000"/>
          <w:lang w:eastAsia="zh-CN" w:bidi="hi-IN"/>
        </w:rPr>
        <w:t>Rajki</w:t>
      </w:r>
      <w:r>
        <w:rPr>
          <w:rFonts w:eastAsia="Arial"/>
          <w:color w:val="000000"/>
          <w:lang w:eastAsia="zh-CN" w:bidi="hi-IN"/>
        </w:rPr>
        <w:t xml:space="preserve">: Conceptualisation, data curation, investigation, project administration, resources, </w:t>
      </w:r>
      <w:r>
        <w:rPr>
          <w:rStyle w:val="Strong"/>
          <w:rFonts w:eastAsia="Arial"/>
          <w:b w:val="0"/>
          <w:bCs w:val="0"/>
          <w:color w:val="000000"/>
          <w:lang w:eastAsia="zh-CN" w:bidi="hi-IN"/>
        </w:rPr>
        <w:t xml:space="preserve">Writing – review &amp; editing. </w:t>
      </w:r>
      <w:r>
        <w:rPr>
          <w:rFonts w:eastAsia="Arial"/>
          <w:b/>
          <w:bCs/>
          <w:color w:val="000000"/>
          <w:lang w:eastAsia="zh-CN" w:bidi="hi-IN"/>
        </w:rPr>
        <w:t>Dringó-</w:t>
      </w:r>
      <w:proofErr w:type="gramStart"/>
      <w:r>
        <w:rPr>
          <w:rFonts w:eastAsia="Arial"/>
          <w:b/>
          <w:bCs/>
          <w:color w:val="000000"/>
          <w:lang w:eastAsia="zh-CN" w:bidi="hi-IN"/>
        </w:rPr>
        <w:t>Horváth</w:t>
      </w:r>
      <w:r>
        <w:rPr>
          <w:rFonts w:eastAsia="Arial"/>
          <w:color w:val="000000"/>
          <w:lang w:eastAsia="zh-CN" w:bidi="hi-IN"/>
        </w:rPr>
        <w:t>:project</w:t>
      </w:r>
      <w:proofErr w:type="gramEnd"/>
      <w:r>
        <w:rPr>
          <w:rFonts w:eastAsia="Arial"/>
          <w:color w:val="000000"/>
          <w:lang w:eastAsia="zh-CN" w:bidi="hi-IN"/>
        </w:rPr>
        <w:t xml:space="preserve"> administration, resources, supervision, </w:t>
      </w:r>
      <w:r>
        <w:rPr>
          <w:rStyle w:val="Strong"/>
          <w:rFonts w:eastAsia="Arial"/>
          <w:b w:val="0"/>
          <w:bCs w:val="0"/>
          <w:color w:val="000000"/>
          <w:lang w:eastAsia="zh-CN" w:bidi="hi-IN"/>
        </w:rPr>
        <w:t xml:space="preserve">Writing–original draft, Writing – review &amp; editing. </w:t>
      </w:r>
      <w:r>
        <w:rPr>
          <w:rFonts w:eastAsia="Arial"/>
          <w:b/>
          <w:bCs/>
          <w:color w:val="000000"/>
          <w:lang w:eastAsia="zh-CN" w:bidi="hi-IN"/>
        </w:rPr>
        <w:t>T. Nagy:</w:t>
      </w:r>
      <w:r>
        <w:rPr>
          <w:rFonts w:eastAsia="Arial"/>
          <w:color w:val="000000"/>
          <w:lang w:eastAsia="zh-CN" w:bidi="hi-IN"/>
        </w:rPr>
        <w:t xml:space="preserve"> conceptualisation, data curation, formal </w:t>
      </w:r>
      <w:proofErr w:type="gramStart"/>
      <w:r>
        <w:rPr>
          <w:rFonts w:eastAsia="Arial"/>
          <w:color w:val="000000"/>
          <w:lang w:eastAsia="zh-CN" w:bidi="hi-IN"/>
        </w:rPr>
        <w:t>analysis,  software</w:t>
      </w:r>
      <w:proofErr w:type="gramEnd"/>
      <w:r>
        <w:rPr>
          <w:rFonts w:eastAsia="Arial"/>
          <w:color w:val="000000"/>
          <w:lang w:eastAsia="zh-CN" w:bidi="hi-IN"/>
        </w:rPr>
        <w:t xml:space="preserve">,  validation, visualisation, </w:t>
      </w:r>
      <w:r>
        <w:rPr>
          <w:rStyle w:val="Strong"/>
          <w:rFonts w:eastAsia="Arial"/>
          <w:b w:val="0"/>
          <w:bCs w:val="0"/>
          <w:color w:val="000000"/>
          <w:lang w:eastAsia="zh-CN" w:bidi="hi-IN"/>
        </w:rPr>
        <w:t>Writing – original draft, Writing – review &amp; editing.</w:t>
      </w:r>
    </w:p>
    <w:p w14:paraId="56974AC9" w14:textId="77777777" w:rsidR="00E73B4A" w:rsidRDefault="00000000">
      <w:pPr>
        <w:pStyle w:val="Heading1"/>
        <w:spacing w:after="119"/>
      </w:pPr>
      <w:r>
        <w:rPr>
          <w:rFonts w:eastAsia="NSimSun" w:cs="Lucida Sans"/>
          <w:color w:val="000000"/>
          <w:shd w:val="clear" w:color="auto" w:fill="FFFFFF"/>
          <w:lang w:bidi="hi-IN"/>
        </w:rPr>
        <w:t>References</w:t>
      </w:r>
    </w:p>
    <w:p w14:paraId="051CEE92" w14:textId="77777777" w:rsidR="00E73B4A" w:rsidRDefault="00000000">
      <w:pPr>
        <w:pStyle w:val="APA7ReferenceListEntry"/>
      </w:pPr>
      <w:r>
        <w:rPr>
          <w:rFonts w:eastAsia="Arial"/>
          <w:lang w:eastAsia="zh-CN" w:bidi="hi-IN"/>
        </w:rPr>
        <w:t xml:space="preserve">Almaraz-López, C., Almaraz-Menéndez, F., &amp; López-Esteban, C. (2023). Comparative Study of the Attitudes and Perceptions of University Students in Business Administration </w:t>
      </w:r>
      <w:proofErr w:type="spellStart"/>
      <w:proofErr w:type="gramStart"/>
      <w:r>
        <w:rPr>
          <w:rFonts w:eastAsia="Arial"/>
          <w:lang w:eastAsia="zh-CN" w:bidi="hi-IN"/>
        </w:rPr>
        <w:t>an</w:t>
      </w:r>
      <w:proofErr w:type="spellEnd"/>
      <w:proofErr w:type="gramEnd"/>
      <w:r>
        <w:rPr>
          <w:rFonts w:eastAsia="Arial"/>
          <w:lang w:eastAsia="zh-CN" w:bidi="hi-IN"/>
        </w:rPr>
        <w:t xml:space="preserve"> Management and in Education toward Artificial Intelligence. </w:t>
      </w:r>
      <w:r>
        <w:rPr>
          <w:rFonts w:eastAsia="Arial"/>
          <w:i/>
          <w:lang w:eastAsia="zh-CN" w:bidi="hi-IN"/>
        </w:rPr>
        <w:t>Education Sciences</w:t>
      </w:r>
      <w:r>
        <w:rPr>
          <w:rFonts w:eastAsia="Arial"/>
          <w:lang w:eastAsia="zh-CN" w:bidi="hi-IN"/>
        </w:rPr>
        <w:t xml:space="preserve">, 13(6), 609. </w:t>
      </w:r>
      <w:hyperlink r:id="rId14">
        <w:r w:rsidR="00E73B4A">
          <w:rPr>
            <w:rStyle w:val="Hyperlink"/>
            <w:rFonts w:eastAsia="Arial"/>
            <w:color w:val="000080"/>
            <w:lang w:eastAsia="zh-CN" w:bidi="hi-IN"/>
          </w:rPr>
          <w:t>https://doi.org/10.3390/educsci13060609</w:t>
        </w:r>
      </w:hyperlink>
    </w:p>
    <w:p w14:paraId="41F8F995" w14:textId="77777777" w:rsidR="00E73B4A" w:rsidRDefault="00000000">
      <w:pPr>
        <w:pStyle w:val="APA7ReferenceListEntry"/>
      </w:pPr>
      <w:r>
        <w:rPr>
          <w:rFonts w:eastAsia="Arial"/>
          <w:color w:val="000000"/>
          <w:shd w:val="clear" w:color="auto" w:fill="FFFFFF"/>
        </w:rPr>
        <w:t xml:space="preserve">Alqahtani, J. S., &amp; </w:t>
      </w:r>
      <w:proofErr w:type="spellStart"/>
      <w:r>
        <w:rPr>
          <w:rFonts w:eastAsia="Arial"/>
          <w:color w:val="000000"/>
          <w:shd w:val="clear" w:color="auto" w:fill="FFFFFF"/>
        </w:rPr>
        <w:t>Oyelade</w:t>
      </w:r>
      <w:proofErr w:type="spellEnd"/>
      <w:r>
        <w:rPr>
          <w:rFonts w:eastAsia="Arial"/>
          <w:color w:val="000000"/>
          <w:shd w:val="clear" w:color="auto" w:fill="FFFFFF"/>
        </w:rPr>
        <w:t xml:space="preserve">, T. (2024). </w:t>
      </w:r>
      <w:r>
        <w:rPr>
          <w:rStyle w:val="Emphasis"/>
          <w:rFonts w:eastAsia="Arial"/>
          <w:color w:val="000000"/>
          <w:shd w:val="clear" w:color="auto" w:fill="FFFFFF"/>
        </w:rPr>
        <w:t>Perception of generative AI use in UK higher education</w:t>
      </w:r>
      <w:r>
        <w:rPr>
          <w:rFonts w:eastAsia="Arial"/>
          <w:color w:val="000000"/>
          <w:shd w:val="clear" w:color="auto" w:fill="FFFFFF"/>
        </w:rPr>
        <w:t xml:space="preserve">. </w:t>
      </w:r>
      <w:r>
        <w:rPr>
          <w:rStyle w:val="Emphasis"/>
          <w:rFonts w:eastAsia="Arial"/>
          <w:color w:val="000000"/>
          <w:shd w:val="clear" w:color="auto" w:fill="FFFFFF"/>
        </w:rPr>
        <w:t>Frontiers in Education, 9</w:t>
      </w:r>
      <w:r>
        <w:rPr>
          <w:rFonts w:eastAsia="Arial"/>
          <w:color w:val="000000"/>
          <w:shd w:val="clear" w:color="auto" w:fill="FFFFFF"/>
        </w:rPr>
        <w:t xml:space="preserve">. </w:t>
      </w:r>
      <w:hyperlink r:id="rId15">
        <w:r w:rsidR="00E73B4A">
          <w:rPr>
            <w:rStyle w:val="Hyperlink"/>
            <w:rFonts w:eastAsia="Arial"/>
            <w:shd w:val="clear" w:color="auto" w:fill="FFFFFF"/>
          </w:rPr>
          <w:t>https://doi.org/10.3389/feduc.2024.1463208</w:t>
        </w:r>
      </w:hyperlink>
      <w:r>
        <w:rPr>
          <w:rStyle w:val="Hyperlink"/>
          <w:rFonts w:eastAsia="Arial"/>
          <w:color w:val="000000"/>
          <w:u w:val="none"/>
          <w:shd w:val="clear" w:color="auto" w:fill="FFFFFF"/>
        </w:rPr>
        <w:t xml:space="preserve"> </w:t>
      </w:r>
    </w:p>
    <w:p w14:paraId="078B98DB" w14:textId="77777777" w:rsidR="00E73B4A" w:rsidRDefault="00000000">
      <w:pPr>
        <w:pStyle w:val="APA7ReferenceListEntry"/>
      </w:pPr>
      <w:r>
        <w:t xml:space="preserve">Bail, C. (2024). Can generative AI improve social science? </w:t>
      </w:r>
      <w:r>
        <w:rPr>
          <w:rStyle w:val="Emphasis"/>
        </w:rPr>
        <w:t>Proceedings of the National Academy of Sciences, 121</w:t>
      </w:r>
      <w:r>
        <w:t xml:space="preserve">(21), Article e2314021121. </w:t>
      </w:r>
      <w:hyperlink r:id="rId16">
        <w:r w:rsidR="00E73B4A">
          <w:rPr>
            <w:rStyle w:val="Hyperlink"/>
          </w:rPr>
          <w:t>https://doi.org/10.1073/pnas.2314021121</w:t>
        </w:r>
      </w:hyperlink>
    </w:p>
    <w:p w14:paraId="1173C73A" w14:textId="77777777" w:rsidR="00E73B4A" w:rsidRDefault="00000000">
      <w:pPr>
        <w:pStyle w:val="APA7ReferenceListEntry"/>
      </w:pPr>
      <w:r>
        <w:rPr>
          <w:rFonts w:eastAsia="Arial"/>
          <w:shd w:val="clear" w:color="auto" w:fill="FFFFFF"/>
        </w:rPr>
        <w:t xml:space="preserve">Bokor, T., </w:t>
      </w:r>
      <w:proofErr w:type="spellStart"/>
      <w:r>
        <w:rPr>
          <w:rFonts w:eastAsia="Arial"/>
          <w:shd w:val="clear" w:color="auto" w:fill="FFFFFF"/>
        </w:rPr>
        <w:t>Kollányi</w:t>
      </w:r>
      <w:proofErr w:type="spellEnd"/>
      <w:r>
        <w:rPr>
          <w:rFonts w:eastAsia="Arial"/>
          <w:shd w:val="clear" w:color="auto" w:fill="FFFFFF"/>
        </w:rPr>
        <w:t xml:space="preserve">, B., </w:t>
      </w:r>
      <w:proofErr w:type="spellStart"/>
      <w:r>
        <w:rPr>
          <w:rFonts w:eastAsia="Arial"/>
          <w:shd w:val="clear" w:color="auto" w:fill="FFFFFF"/>
        </w:rPr>
        <w:t>Pálvölgyi</w:t>
      </w:r>
      <w:proofErr w:type="spellEnd"/>
      <w:r>
        <w:rPr>
          <w:rFonts w:eastAsia="Arial"/>
          <w:shd w:val="clear" w:color="auto" w:fill="FFFFFF"/>
        </w:rPr>
        <w:t xml:space="preserve">, E., &amp; </w:t>
      </w:r>
      <w:proofErr w:type="spellStart"/>
      <w:r>
        <w:rPr>
          <w:rFonts w:eastAsia="Arial"/>
          <w:shd w:val="clear" w:color="auto" w:fill="FFFFFF"/>
        </w:rPr>
        <w:t>Ságvári</w:t>
      </w:r>
      <w:proofErr w:type="spellEnd"/>
      <w:r>
        <w:rPr>
          <w:rFonts w:eastAsia="Arial"/>
          <w:shd w:val="clear" w:color="auto" w:fill="FFFFFF"/>
        </w:rPr>
        <w:t xml:space="preserve">, B. (2022). </w:t>
      </w:r>
      <w:r>
        <w:rPr>
          <w:rFonts w:eastAsia="Arial"/>
          <w:i/>
          <w:iCs/>
          <w:shd w:val="clear" w:color="auto" w:fill="FFFFFF"/>
        </w:rPr>
        <w:t xml:space="preserve">Mi </w:t>
      </w:r>
      <w:proofErr w:type="spellStart"/>
      <w:r>
        <w:rPr>
          <w:rFonts w:eastAsia="Arial"/>
          <w:i/>
          <w:iCs/>
          <w:shd w:val="clear" w:color="auto" w:fill="FFFFFF"/>
        </w:rPr>
        <w:t>és</w:t>
      </w:r>
      <w:proofErr w:type="spellEnd"/>
      <w:r>
        <w:rPr>
          <w:rFonts w:eastAsia="Arial"/>
          <w:i/>
          <w:iCs/>
          <w:shd w:val="clear" w:color="auto" w:fill="FFFFFF"/>
        </w:rPr>
        <w:t xml:space="preserve"> </w:t>
      </w:r>
      <w:proofErr w:type="spellStart"/>
      <w:r>
        <w:rPr>
          <w:rFonts w:eastAsia="Arial"/>
          <w:i/>
          <w:iCs/>
          <w:shd w:val="clear" w:color="auto" w:fill="FFFFFF"/>
        </w:rPr>
        <w:t>az</w:t>
      </w:r>
      <w:proofErr w:type="spellEnd"/>
      <w:r>
        <w:rPr>
          <w:rFonts w:eastAsia="Arial"/>
          <w:i/>
          <w:iCs/>
          <w:shd w:val="clear" w:color="auto" w:fill="FFFFFF"/>
        </w:rPr>
        <w:t xml:space="preserve"> MI. </w:t>
      </w:r>
      <w:proofErr w:type="spellStart"/>
      <w:r>
        <w:rPr>
          <w:rFonts w:eastAsia="Arial"/>
          <w:i/>
          <w:iCs/>
          <w:shd w:val="clear" w:color="auto" w:fill="FFFFFF"/>
        </w:rPr>
        <w:t>Értékek</w:t>
      </w:r>
      <w:proofErr w:type="spellEnd"/>
      <w:r>
        <w:rPr>
          <w:rFonts w:eastAsia="Arial"/>
          <w:i/>
          <w:iCs/>
          <w:shd w:val="clear" w:color="auto" w:fill="FFFFFF"/>
        </w:rPr>
        <w:t xml:space="preserve">, </w:t>
      </w:r>
      <w:proofErr w:type="spellStart"/>
      <w:r>
        <w:rPr>
          <w:rFonts w:eastAsia="Arial"/>
          <w:i/>
          <w:iCs/>
          <w:shd w:val="clear" w:color="auto" w:fill="FFFFFF"/>
        </w:rPr>
        <w:t>attitűdök</w:t>
      </w:r>
      <w:proofErr w:type="spellEnd"/>
      <w:r>
        <w:rPr>
          <w:rFonts w:eastAsia="Arial"/>
          <w:i/>
          <w:iCs/>
          <w:shd w:val="clear" w:color="auto" w:fill="FFFFFF"/>
        </w:rPr>
        <w:t xml:space="preserve">, </w:t>
      </w:r>
      <w:proofErr w:type="spellStart"/>
      <w:r>
        <w:rPr>
          <w:rFonts w:eastAsia="Arial"/>
          <w:i/>
          <w:iCs/>
          <w:shd w:val="clear" w:color="auto" w:fill="FFFFFF"/>
        </w:rPr>
        <w:t>bizalmi</w:t>
      </w:r>
      <w:proofErr w:type="spellEnd"/>
      <w:r>
        <w:rPr>
          <w:rFonts w:eastAsia="Arial"/>
          <w:i/>
          <w:iCs/>
          <w:shd w:val="clear" w:color="auto" w:fill="FFFFFF"/>
        </w:rPr>
        <w:t xml:space="preserve"> </w:t>
      </w:r>
      <w:proofErr w:type="spellStart"/>
      <w:r>
        <w:rPr>
          <w:rFonts w:eastAsia="Arial"/>
          <w:i/>
          <w:iCs/>
          <w:shd w:val="clear" w:color="auto" w:fill="FFFFFF"/>
        </w:rPr>
        <w:t>kérdések</w:t>
      </w:r>
      <w:proofErr w:type="spellEnd"/>
      <w:r>
        <w:rPr>
          <w:rFonts w:eastAsia="Arial"/>
          <w:i/>
          <w:iCs/>
          <w:shd w:val="clear" w:color="auto" w:fill="FFFFFF"/>
        </w:rPr>
        <w:t xml:space="preserve"> a </w:t>
      </w:r>
      <w:proofErr w:type="spellStart"/>
      <w:r>
        <w:rPr>
          <w:rFonts w:eastAsia="Arial"/>
          <w:i/>
          <w:iCs/>
          <w:shd w:val="clear" w:color="auto" w:fill="FFFFFF"/>
        </w:rPr>
        <w:t>mesterséges</w:t>
      </w:r>
      <w:proofErr w:type="spellEnd"/>
      <w:r>
        <w:rPr>
          <w:rFonts w:eastAsia="Arial"/>
          <w:i/>
          <w:iCs/>
          <w:shd w:val="clear" w:color="auto" w:fill="FFFFFF"/>
        </w:rPr>
        <w:t xml:space="preserve"> </w:t>
      </w:r>
      <w:proofErr w:type="spellStart"/>
      <w:r>
        <w:rPr>
          <w:rFonts w:eastAsia="Arial"/>
          <w:i/>
          <w:iCs/>
          <w:shd w:val="clear" w:color="auto" w:fill="FFFFFF"/>
        </w:rPr>
        <w:t>intelligenciáról</w:t>
      </w:r>
      <w:proofErr w:type="spellEnd"/>
      <w:r>
        <w:rPr>
          <w:rFonts w:eastAsia="Arial"/>
          <w:i/>
          <w:iCs/>
          <w:shd w:val="clear" w:color="auto" w:fill="FFFFFF"/>
        </w:rPr>
        <w:t xml:space="preserve"> a </w:t>
      </w:r>
      <w:proofErr w:type="spellStart"/>
      <w:r>
        <w:rPr>
          <w:rFonts w:eastAsia="Arial"/>
          <w:i/>
          <w:iCs/>
          <w:shd w:val="clear" w:color="auto" w:fill="FFFFFF"/>
        </w:rPr>
        <w:t>magyar</w:t>
      </w:r>
      <w:proofErr w:type="spellEnd"/>
      <w:r>
        <w:rPr>
          <w:rFonts w:eastAsia="Arial"/>
          <w:i/>
          <w:iCs/>
          <w:shd w:val="clear" w:color="auto" w:fill="FFFFFF"/>
        </w:rPr>
        <w:t xml:space="preserve"> </w:t>
      </w:r>
      <w:proofErr w:type="spellStart"/>
      <w:r>
        <w:rPr>
          <w:rFonts w:eastAsia="Arial"/>
          <w:i/>
          <w:iCs/>
          <w:shd w:val="clear" w:color="auto" w:fill="FFFFFF"/>
        </w:rPr>
        <w:t>társadalomban</w:t>
      </w:r>
      <w:proofErr w:type="spellEnd"/>
      <w:r>
        <w:rPr>
          <w:rFonts w:eastAsia="Arial"/>
          <w:shd w:val="clear" w:color="auto" w:fill="FFFFFF"/>
        </w:rPr>
        <w:t xml:space="preserve">. Research report. Mesterséges </w:t>
      </w:r>
      <w:proofErr w:type="spellStart"/>
      <w:r>
        <w:rPr>
          <w:rFonts w:eastAsia="Arial"/>
          <w:shd w:val="clear" w:color="auto" w:fill="FFFFFF"/>
        </w:rPr>
        <w:t>Intelligencia</w:t>
      </w:r>
      <w:proofErr w:type="spellEnd"/>
      <w:r>
        <w:rPr>
          <w:rFonts w:eastAsia="Arial"/>
          <w:shd w:val="clear" w:color="auto" w:fill="FFFFFF"/>
        </w:rPr>
        <w:t xml:space="preserve"> </w:t>
      </w:r>
      <w:proofErr w:type="spellStart"/>
      <w:r>
        <w:rPr>
          <w:rFonts w:eastAsia="Arial"/>
          <w:shd w:val="clear" w:color="auto" w:fill="FFFFFF"/>
        </w:rPr>
        <w:t>Nemzeti</w:t>
      </w:r>
      <w:proofErr w:type="spellEnd"/>
      <w:r>
        <w:rPr>
          <w:rFonts w:eastAsia="Arial"/>
          <w:shd w:val="clear" w:color="auto" w:fill="FFFFFF"/>
        </w:rPr>
        <w:t xml:space="preserve"> </w:t>
      </w:r>
      <w:proofErr w:type="spellStart"/>
      <w:r>
        <w:rPr>
          <w:rFonts w:eastAsia="Arial"/>
          <w:shd w:val="clear" w:color="auto" w:fill="FFFFFF"/>
        </w:rPr>
        <w:t>Laoratórium</w:t>
      </w:r>
      <w:proofErr w:type="spellEnd"/>
      <w:r>
        <w:rPr>
          <w:rFonts w:eastAsia="Arial"/>
          <w:shd w:val="clear" w:color="auto" w:fill="FFFFFF"/>
        </w:rPr>
        <w:t xml:space="preserve"> – </w:t>
      </w:r>
      <w:proofErr w:type="spellStart"/>
      <w:r>
        <w:rPr>
          <w:rFonts w:eastAsia="Arial"/>
          <w:shd w:val="clear" w:color="auto" w:fill="FFFFFF"/>
        </w:rPr>
        <w:t>Társadalomtudományi</w:t>
      </w:r>
      <w:proofErr w:type="spellEnd"/>
      <w:r>
        <w:rPr>
          <w:rFonts w:eastAsia="Arial"/>
          <w:shd w:val="clear" w:color="auto" w:fill="FFFFFF"/>
        </w:rPr>
        <w:t xml:space="preserve"> </w:t>
      </w:r>
      <w:proofErr w:type="spellStart"/>
      <w:r>
        <w:rPr>
          <w:rFonts w:eastAsia="Arial"/>
          <w:shd w:val="clear" w:color="auto" w:fill="FFFFFF"/>
        </w:rPr>
        <w:t>Kutatóközpont</w:t>
      </w:r>
      <w:proofErr w:type="spellEnd"/>
      <w:r>
        <w:rPr>
          <w:rFonts w:eastAsia="Arial"/>
          <w:shd w:val="clear" w:color="auto" w:fill="FFFFFF"/>
        </w:rPr>
        <w:t xml:space="preserve">. </w:t>
      </w:r>
      <w:hyperlink r:id="rId17">
        <w:r w:rsidR="00E73B4A">
          <w:rPr>
            <w:rStyle w:val="Hyperlink"/>
            <w:rFonts w:eastAsia="Arial"/>
            <w:shd w:val="clear" w:color="auto" w:fill="FFFFFF"/>
          </w:rPr>
          <w:t>https://milab.tk.hu/uploads/files/MI_survey_report_final_doc.pdf</w:t>
        </w:r>
      </w:hyperlink>
      <w:r>
        <w:rPr>
          <w:rFonts w:eastAsia="Arial"/>
          <w:shd w:val="clear" w:color="auto" w:fill="FFFFFF"/>
        </w:rPr>
        <w:t xml:space="preserve"> </w:t>
      </w:r>
    </w:p>
    <w:p w14:paraId="21AEC25B" w14:textId="77777777" w:rsidR="00E73B4A" w:rsidRDefault="00000000">
      <w:pPr>
        <w:pStyle w:val="APA7ReferenceListEntry"/>
      </w:pPr>
      <w:r>
        <w:rPr>
          <w:rFonts w:eastAsia="Arial"/>
          <w:lang w:eastAsia="zh-CN" w:bidi="hi-IN"/>
        </w:rPr>
        <w:t xml:space="preserve">Chan, C. K. Y., &amp; Hu, W. (2023). Students’ voices on generative AI: Perceptions, benefits, and challenges in higher education. </w:t>
      </w:r>
      <w:r>
        <w:rPr>
          <w:rFonts w:eastAsia="Arial"/>
          <w:i/>
          <w:lang w:eastAsia="zh-CN" w:bidi="hi-IN"/>
        </w:rPr>
        <w:t>International Journal of Educational Technology in Higher Education</w:t>
      </w:r>
      <w:r>
        <w:rPr>
          <w:rFonts w:eastAsia="Arial"/>
          <w:lang w:eastAsia="zh-CN" w:bidi="hi-IN"/>
        </w:rPr>
        <w:t xml:space="preserve">, 20(1), 43. </w:t>
      </w:r>
      <w:hyperlink r:id="rId18">
        <w:r w:rsidR="00E73B4A">
          <w:rPr>
            <w:rStyle w:val="Hyperlink"/>
            <w:rFonts w:eastAsia="Arial"/>
            <w:color w:val="000080"/>
            <w:lang w:eastAsia="zh-CN" w:bidi="hi-IN"/>
          </w:rPr>
          <w:t>https://doi.org/10.1186/s41239-023-00411-8</w:t>
        </w:r>
      </w:hyperlink>
    </w:p>
    <w:p w14:paraId="4862DF12" w14:textId="77777777" w:rsidR="00E73B4A" w:rsidRDefault="00000000">
      <w:pPr>
        <w:pStyle w:val="APA7ReferenceListEntry"/>
      </w:pPr>
      <w:r>
        <w:rPr>
          <w:rFonts w:eastAsia="Arial"/>
          <w:shd w:val="clear" w:color="auto" w:fill="FFFFFF"/>
        </w:rPr>
        <w:t>Chan, C.K.Y. &amp; Lee, K.K.W. (2023). The AI generation gap: Are Gen Z students more interested in adopting generative AI such as ChatGPT in teaching and learning than their Gen X and millennial generation teachers? </w:t>
      </w:r>
      <w:r>
        <w:rPr>
          <w:rFonts w:eastAsia="Arial"/>
          <w:i/>
          <w:iCs/>
          <w:shd w:val="clear" w:color="auto" w:fill="FFFFFF"/>
        </w:rPr>
        <w:t>Smart Learning Environment. 10</w:t>
      </w:r>
      <w:r>
        <w:rPr>
          <w:rFonts w:eastAsia="Arial"/>
          <w:shd w:val="clear" w:color="auto" w:fill="FFFFFF"/>
        </w:rPr>
        <w:t xml:space="preserve">, Article 60. </w:t>
      </w:r>
      <w:hyperlink r:id="rId19">
        <w:r w:rsidR="00E73B4A">
          <w:rPr>
            <w:rStyle w:val="Hyperlink"/>
            <w:rFonts w:eastAsia="Arial"/>
            <w:shd w:val="clear" w:color="auto" w:fill="FFFFFF"/>
          </w:rPr>
          <w:t>https://doi.org/10.1186/s40561-023-00269-3</w:t>
        </w:r>
      </w:hyperlink>
      <w:r>
        <w:rPr>
          <w:rFonts w:eastAsia="Arial"/>
          <w:shd w:val="clear" w:color="auto" w:fill="FFFFFF"/>
        </w:rPr>
        <w:t xml:space="preserve"> </w:t>
      </w:r>
    </w:p>
    <w:p w14:paraId="1414905B" w14:textId="77777777" w:rsidR="00E73B4A" w:rsidRDefault="00000000">
      <w:pPr>
        <w:pStyle w:val="APA7ReferenceListEntry"/>
      </w:pPr>
      <w:r>
        <w:rPr>
          <w:rFonts w:eastAsia="Arial"/>
          <w:lang w:eastAsia="zh-CN" w:bidi="hi-IN"/>
        </w:rPr>
        <w:t xml:space="preserve">Costa, M. (2023, November 2). Why are fewer women using AI than </w:t>
      </w:r>
      <w:r>
        <w:rPr>
          <w:rFonts w:eastAsia="Arial"/>
        </w:rPr>
        <w:t>m</w:t>
      </w:r>
      <w:r>
        <w:rPr>
          <w:rFonts w:eastAsia="Arial"/>
          <w:lang w:eastAsia="zh-CN" w:bidi="hi-IN"/>
        </w:rPr>
        <w:t xml:space="preserve">en? </w:t>
      </w:r>
      <w:r>
        <w:rPr>
          <w:rFonts w:eastAsia="Arial"/>
          <w:i/>
          <w:lang w:eastAsia="zh-CN" w:bidi="hi-IN"/>
        </w:rPr>
        <w:t>BBC.</w:t>
      </w:r>
      <w:r>
        <w:rPr>
          <w:rFonts w:eastAsia="Arial"/>
          <w:lang w:eastAsia="zh-CN" w:bidi="hi-IN"/>
        </w:rPr>
        <w:t xml:space="preserve"> </w:t>
      </w:r>
      <w:hyperlink r:id="rId20">
        <w:r w:rsidR="00E73B4A">
          <w:rPr>
            <w:rStyle w:val="Hyperlink"/>
            <w:rFonts w:eastAsia="Arial"/>
            <w:color w:val="auto"/>
            <w:lang w:eastAsia="zh-CN" w:bidi="hi-IN"/>
          </w:rPr>
          <w:t>https://www.bbc.com/news/business-67217915</w:t>
        </w:r>
      </w:hyperlink>
      <w:r>
        <w:rPr>
          <w:rFonts w:eastAsia="Arial"/>
          <w:u w:val="single"/>
        </w:rPr>
        <w:t xml:space="preserve"> </w:t>
      </w:r>
      <w:r>
        <w:rPr>
          <w:rFonts w:eastAsia="Arial"/>
          <w:lang w:eastAsia="zh-CN" w:bidi="hi-IN"/>
        </w:rPr>
        <w:t xml:space="preserve"> </w:t>
      </w:r>
      <w:r>
        <w:rPr>
          <w:rFonts w:eastAsia="Arial"/>
        </w:rPr>
        <w:t xml:space="preserve"> </w:t>
      </w:r>
    </w:p>
    <w:p w14:paraId="73F2AC3A" w14:textId="77777777" w:rsidR="00E73B4A" w:rsidRDefault="00000000">
      <w:pPr>
        <w:pStyle w:val="APA7ReferenceListEntry"/>
      </w:pPr>
      <w:proofErr w:type="spellStart"/>
      <w:r>
        <w:rPr>
          <w:rFonts w:eastAsia="Arial"/>
          <w:lang w:val="hu-HU"/>
        </w:rPr>
        <w:t>Cotton</w:t>
      </w:r>
      <w:proofErr w:type="spellEnd"/>
      <w:r>
        <w:rPr>
          <w:rFonts w:eastAsia="Arial"/>
          <w:lang w:val="hu-HU"/>
        </w:rPr>
        <w:t xml:space="preserve">, D. R. E., </w:t>
      </w:r>
      <w:proofErr w:type="spellStart"/>
      <w:r>
        <w:rPr>
          <w:rFonts w:eastAsia="Arial"/>
          <w:lang w:val="hu-HU"/>
        </w:rPr>
        <w:t>Cotton</w:t>
      </w:r>
      <w:proofErr w:type="spellEnd"/>
      <w:r>
        <w:rPr>
          <w:rFonts w:eastAsia="Arial"/>
          <w:lang w:val="hu-HU"/>
        </w:rPr>
        <w:t xml:space="preserve">, P. A., &amp; </w:t>
      </w:r>
      <w:proofErr w:type="spellStart"/>
      <w:r>
        <w:rPr>
          <w:rFonts w:eastAsia="Arial"/>
          <w:lang w:val="hu-HU"/>
        </w:rPr>
        <w:t>Shipway</w:t>
      </w:r>
      <w:proofErr w:type="spellEnd"/>
      <w:r>
        <w:rPr>
          <w:rFonts w:eastAsia="Arial"/>
          <w:lang w:val="hu-HU"/>
        </w:rPr>
        <w:t xml:space="preserve">, J. R. (2024). </w:t>
      </w:r>
      <w:proofErr w:type="spellStart"/>
      <w:r>
        <w:rPr>
          <w:rFonts w:eastAsia="Arial"/>
          <w:lang w:val="hu-HU"/>
        </w:rPr>
        <w:t>Chatting</w:t>
      </w:r>
      <w:proofErr w:type="spellEnd"/>
      <w:r>
        <w:rPr>
          <w:rFonts w:eastAsia="Arial"/>
          <w:lang w:val="hu-HU"/>
        </w:rPr>
        <w:t xml:space="preserve"> and </w:t>
      </w:r>
      <w:proofErr w:type="spellStart"/>
      <w:r>
        <w:rPr>
          <w:rFonts w:eastAsia="Arial"/>
          <w:lang w:val="hu-HU"/>
        </w:rPr>
        <w:t>cheating</w:t>
      </w:r>
      <w:proofErr w:type="spellEnd"/>
      <w:r>
        <w:rPr>
          <w:rFonts w:eastAsia="Arial"/>
          <w:lang w:val="hu-HU"/>
        </w:rPr>
        <w:t xml:space="preserve">: </w:t>
      </w:r>
      <w:proofErr w:type="spellStart"/>
      <w:r>
        <w:rPr>
          <w:rFonts w:eastAsia="Arial"/>
          <w:lang w:val="hu-HU"/>
        </w:rPr>
        <w:t>Ensuring</w:t>
      </w:r>
      <w:proofErr w:type="spellEnd"/>
      <w:r>
        <w:rPr>
          <w:rFonts w:eastAsia="Arial"/>
          <w:lang w:val="hu-HU"/>
        </w:rPr>
        <w:t xml:space="preserve"> </w:t>
      </w:r>
      <w:proofErr w:type="spellStart"/>
      <w:r>
        <w:rPr>
          <w:rFonts w:eastAsia="Arial"/>
          <w:lang w:val="hu-HU"/>
        </w:rPr>
        <w:t>academic</w:t>
      </w:r>
      <w:proofErr w:type="spellEnd"/>
      <w:r>
        <w:rPr>
          <w:rFonts w:eastAsia="Arial"/>
          <w:lang w:val="hu-HU"/>
        </w:rPr>
        <w:t xml:space="preserve"> </w:t>
      </w:r>
      <w:proofErr w:type="spellStart"/>
      <w:r>
        <w:rPr>
          <w:rFonts w:eastAsia="Arial"/>
          <w:lang w:val="hu-HU"/>
        </w:rPr>
        <w:t>integrity</w:t>
      </w:r>
      <w:proofErr w:type="spellEnd"/>
      <w:r>
        <w:rPr>
          <w:rFonts w:eastAsia="Arial"/>
          <w:lang w:val="hu-HU"/>
        </w:rPr>
        <w:t xml:space="preserve"> in </w:t>
      </w:r>
      <w:proofErr w:type="spellStart"/>
      <w:r>
        <w:rPr>
          <w:rFonts w:eastAsia="Arial"/>
          <w:lang w:val="hu-HU"/>
        </w:rPr>
        <w:t>the</w:t>
      </w:r>
      <w:proofErr w:type="spellEnd"/>
      <w:r>
        <w:rPr>
          <w:rFonts w:eastAsia="Arial"/>
          <w:lang w:val="hu-HU"/>
        </w:rPr>
        <w:t xml:space="preserve"> </w:t>
      </w:r>
      <w:proofErr w:type="spellStart"/>
      <w:r>
        <w:rPr>
          <w:rFonts w:eastAsia="Arial"/>
          <w:lang w:val="hu-HU"/>
        </w:rPr>
        <w:t>era</w:t>
      </w:r>
      <w:proofErr w:type="spellEnd"/>
      <w:r>
        <w:rPr>
          <w:rFonts w:eastAsia="Arial"/>
          <w:lang w:val="hu-HU"/>
        </w:rPr>
        <w:t xml:space="preserve"> of </w:t>
      </w:r>
      <w:proofErr w:type="spellStart"/>
      <w:r>
        <w:rPr>
          <w:rFonts w:eastAsia="Arial"/>
          <w:lang w:val="hu-HU"/>
        </w:rPr>
        <w:t>ChatGPT</w:t>
      </w:r>
      <w:proofErr w:type="spellEnd"/>
      <w:r>
        <w:rPr>
          <w:rFonts w:eastAsia="Arial"/>
          <w:lang w:val="hu-HU"/>
        </w:rPr>
        <w:t xml:space="preserve">. </w:t>
      </w:r>
      <w:proofErr w:type="spellStart"/>
      <w:r>
        <w:rPr>
          <w:rStyle w:val="Emphasis"/>
          <w:rFonts w:eastAsia="Arial"/>
          <w:lang w:val="hu-HU"/>
        </w:rPr>
        <w:t>Innovations</w:t>
      </w:r>
      <w:proofErr w:type="spellEnd"/>
      <w:r>
        <w:rPr>
          <w:rStyle w:val="Emphasis"/>
          <w:rFonts w:eastAsia="Arial"/>
          <w:lang w:val="hu-HU"/>
        </w:rPr>
        <w:t xml:space="preserve"> in Education and </w:t>
      </w:r>
      <w:proofErr w:type="spellStart"/>
      <w:r>
        <w:rPr>
          <w:rStyle w:val="Emphasis"/>
          <w:rFonts w:eastAsia="Arial"/>
          <w:lang w:val="hu-HU"/>
        </w:rPr>
        <w:t>Teaching</w:t>
      </w:r>
      <w:proofErr w:type="spellEnd"/>
      <w:r>
        <w:rPr>
          <w:rStyle w:val="Emphasis"/>
          <w:rFonts w:eastAsia="Arial"/>
          <w:lang w:val="hu-HU"/>
        </w:rPr>
        <w:t xml:space="preserve"> International, 61</w:t>
      </w:r>
      <w:r>
        <w:rPr>
          <w:rFonts w:eastAsia="Arial"/>
          <w:lang w:val="hu-HU"/>
        </w:rPr>
        <w:t xml:space="preserve">(2), 228-239. </w:t>
      </w:r>
      <w:hyperlink r:id="rId21" w:tgtFrame="_blank">
        <w:r w:rsidR="00E73B4A">
          <w:rPr>
            <w:rStyle w:val="Hyperlink"/>
            <w:rFonts w:eastAsia="Arial"/>
            <w:lang w:val="hu-HU"/>
          </w:rPr>
          <w:t>https://doi.org/10.1080/14703297.2023.2190148</w:t>
        </w:r>
      </w:hyperlink>
    </w:p>
    <w:p w14:paraId="3FC61D9D" w14:textId="77777777" w:rsidR="00E73B4A" w:rsidRDefault="00000000">
      <w:pPr>
        <w:pStyle w:val="APA7ReferenceListEntry"/>
      </w:pPr>
      <w:r>
        <w:rPr>
          <w:rFonts w:eastAsia="Arial"/>
        </w:rPr>
        <w:lastRenderedPageBreak/>
        <w:t xml:space="preserve">Creely, E., &amp; </w:t>
      </w:r>
      <w:proofErr w:type="spellStart"/>
      <w:r>
        <w:rPr>
          <w:rFonts w:eastAsia="Arial"/>
        </w:rPr>
        <w:t>Blannin</w:t>
      </w:r>
      <w:proofErr w:type="spellEnd"/>
      <w:r>
        <w:rPr>
          <w:rFonts w:eastAsia="Arial"/>
        </w:rPr>
        <w:t xml:space="preserve">, J. (2023). The implications of generative AI for creative composition in higher education and initial teacher education. In T. Cochrane, V. Narayan, C. Brown, K. MacCallum, E. Bone, C. Deneen, R. Vanderburg, &amp; B. Hurren (Eds.), </w:t>
      </w:r>
      <w:r>
        <w:rPr>
          <w:rStyle w:val="Emphasis"/>
          <w:rFonts w:eastAsia="Arial"/>
        </w:rPr>
        <w:t>People, partnerships and pedagogies. Proceedings ASCILITE 2023</w:t>
      </w:r>
      <w:r>
        <w:rPr>
          <w:rFonts w:eastAsia="Arial"/>
        </w:rPr>
        <w:t xml:space="preserve"> (pp. 357–361).  </w:t>
      </w:r>
      <w:hyperlink r:id="rId22">
        <w:r w:rsidR="00E73B4A">
          <w:rPr>
            <w:rStyle w:val="Hyperlink"/>
            <w:rFonts w:eastAsia="Arial"/>
            <w:color w:val="000000"/>
            <w:lang w:eastAsia="zh-CN" w:bidi="hi-IN"/>
          </w:rPr>
          <w:t>https://doi.org/10.14742/apubs.2023.618</w:t>
        </w:r>
      </w:hyperlink>
      <w:r>
        <w:rPr>
          <w:rFonts w:eastAsia="Arial"/>
          <w:color w:val="000000"/>
          <w:u w:val="single"/>
        </w:rPr>
        <w:t xml:space="preserve"> </w:t>
      </w:r>
    </w:p>
    <w:p w14:paraId="2E6AE322" w14:textId="77777777" w:rsidR="00E73B4A" w:rsidRDefault="00000000">
      <w:pPr>
        <w:pStyle w:val="APA7ReferenceListEntry"/>
      </w:pPr>
      <w:r>
        <w:rPr>
          <w:rFonts w:eastAsia="Arial"/>
          <w:lang w:eastAsia="zh-CN" w:bidi="hi-IN"/>
        </w:rPr>
        <w:t xml:space="preserve">Delcker, J., Heil, J., </w:t>
      </w:r>
      <w:proofErr w:type="spellStart"/>
      <w:r>
        <w:rPr>
          <w:rFonts w:eastAsia="Arial"/>
          <w:lang w:eastAsia="zh-CN" w:bidi="hi-IN"/>
        </w:rPr>
        <w:t>Ifenthaler</w:t>
      </w:r>
      <w:proofErr w:type="spellEnd"/>
      <w:r>
        <w:rPr>
          <w:rFonts w:eastAsia="Arial"/>
          <w:lang w:eastAsia="zh-CN" w:bidi="hi-IN"/>
        </w:rPr>
        <w:t xml:space="preserve">, D., Seufert, S., &amp; </w:t>
      </w:r>
      <w:proofErr w:type="spellStart"/>
      <w:r>
        <w:rPr>
          <w:rFonts w:eastAsia="Arial"/>
          <w:lang w:eastAsia="zh-CN" w:bidi="hi-IN"/>
        </w:rPr>
        <w:t>Spirgi</w:t>
      </w:r>
      <w:proofErr w:type="spellEnd"/>
      <w:r>
        <w:rPr>
          <w:rFonts w:eastAsia="Arial"/>
          <w:lang w:eastAsia="zh-CN" w:bidi="hi-IN"/>
        </w:rPr>
        <w:t>, L. (2024). First-year students AI-competence as a predictor for intended and de facto use of AI-tools for supporting learning processes in higher education.</w:t>
      </w:r>
      <w:r>
        <w:rPr>
          <w:rFonts w:eastAsia="Arial"/>
          <w:i/>
          <w:lang w:eastAsia="zh-CN" w:bidi="hi-IN"/>
        </w:rPr>
        <w:t xml:space="preserve"> International Journal of Educational Technology in Higher Education</w:t>
      </w:r>
      <w:r>
        <w:rPr>
          <w:rFonts w:eastAsia="Arial"/>
          <w:lang w:eastAsia="zh-CN" w:bidi="hi-IN"/>
        </w:rPr>
        <w:t xml:space="preserve">, 21(1), 18. </w:t>
      </w:r>
      <w:hyperlink r:id="rId23">
        <w:r w:rsidR="00E73B4A">
          <w:rPr>
            <w:rStyle w:val="Hyperlink"/>
            <w:rFonts w:eastAsia="Arial"/>
            <w:color w:val="auto"/>
            <w:lang w:eastAsia="zh-CN" w:bidi="hi-IN"/>
          </w:rPr>
          <w:t>https://doi.org/10.1186/s41239-024-00452-7</w:t>
        </w:r>
      </w:hyperlink>
      <w:r>
        <w:rPr>
          <w:rFonts w:eastAsia="Arial"/>
        </w:rPr>
        <w:t xml:space="preserve"> </w:t>
      </w:r>
    </w:p>
    <w:p w14:paraId="559853AF" w14:textId="77777777" w:rsidR="00E73B4A" w:rsidRDefault="00000000">
      <w:pPr>
        <w:pStyle w:val="APA7ReferenceListEntry"/>
      </w:pPr>
      <w:r>
        <w:rPr>
          <w:rFonts w:eastAsia="Arial"/>
          <w:lang w:eastAsia="zh-CN" w:bidi="hi-IN"/>
        </w:rPr>
        <w:t xml:space="preserve">Essien, A., </w:t>
      </w:r>
      <w:proofErr w:type="spellStart"/>
      <w:r>
        <w:rPr>
          <w:rFonts w:eastAsia="Arial"/>
          <w:lang w:eastAsia="zh-CN" w:bidi="hi-IN"/>
        </w:rPr>
        <w:t>Bukoye</w:t>
      </w:r>
      <w:proofErr w:type="spellEnd"/>
      <w:r>
        <w:rPr>
          <w:rFonts w:eastAsia="Arial"/>
          <w:lang w:eastAsia="zh-CN" w:bidi="hi-IN"/>
        </w:rPr>
        <w:t xml:space="preserve">, O. T., O’Dea, X., &amp; </w:t>
      </w:r>
      <w:proofErr w:type="spellStart"/>
      <w:r>
        <w:rPr>
          <w:rFonts w:eastAsia="Arial"/>
          <w:lang w:eastAsia="zh-CN" w:bidi="hi-IN"/>
        </w:rPr>
        <w:t>Kremantzis</w:t>
      </w:r>
      <w:proofErr w:type="spellEnd"/>
      <w:r>
        <w:rPr>
          <w:rFonts w:eastAsia="Arial"/>
          <w:lang w:eastAsia="zh-CN" w:bidi="hi-IN"/>
        </w:rPr>
        <w:t xml:space="preserve">, M. (2024). The influence of AI text generators on critical thinking skills in UK business schools. </w:t>
      </w:r>
      <w:r>
        <w:rPr>
          <w:rFonts w:eastAsia="Arial"/>
          <w:i/>
          <w:lang w:eastAsia="zh-CN" w:bidi="hi-IN"/>
        </w:rPr>
        <w:t>Studies in Higher Education</w:t>
      </w:r>
      <w:r>
        <w:rPr>
          <w:rFonts w:eastAsia="Arial"/>
          <w:lang w:eastAsia="zh-CN" w:bidi="hi-IN"/>
        </w:rPr>
        <w:t xml:space="preserve">, 49(5), 865–882. </w:t>
      </w:r>
      <w:hyperlink r:id="rId24">
        <w:r w:rsidR="00E73B4A">
          <w:rPr>
            <w:rStyle w:val="Hyperlink"/>
            <w:rFonts w:eastAsia="Arial"/>
            <w:color w:val="auto"/>
            <w:lang w:eastAsia="zh-CN" w:bidi="hi-IN"/>
          </w:rPr>
          <w:t>https://doi.org/10.1080/03075079.2024.2316881</w:t>
        </w:r>
      </w:hyperlink>
      <w:r>
        <w:rPr>
          <w:rFonts w:eastAsia="Arial"/>
        </w:rPr>
        <w:t xml:space="preserve"> </w:t>
      </w:r>
    </w:p>
    <w:p w14:paraId="4FCF5397" w14:textId="77777777" w:rsidR="00E73B4A" w:rsidRDefault="00000000">
      <w:pPr>
        <w:pStyle w:val="APA7ReferenceListEntry"/>
      </w:pPr>
      <w:proofErr w:type="spellStart"/>
      <w:r>
        <w:rPr>
          <w:rFonts w:eastAsia="Arial"/>
          <w:lang w:eastAsia="zh-CN" w:bidi="hi-IN"/>
        </w:rPr>
        <w:t>Fadlelmula</w:t>
      </w:r>
      <w:proofErr w:type="spellEnd"/>
      <w:r>
        <w:rPr>
          <w:rFonts w:eastAsia="Arial"/>
          <w:lang w:eastAsia="zh-CN" w:bidi="hi-IN"/>
        </w:rPr>
        <w:t xml:space="preserve">, F. K., &amp; Qadhi, S. M. (2024). A systematic review of research on artificial intelligence in higher education: Practice, gaps, and future directions in the GCC. </w:t>
      </w:r>
      <w:r>
        <w:rPr>
          <w:rFonts w:eastAsia="Arial"/>
          <w:i/>
          <w:lang w:eastAsia="zh-CN" w:bidi="hi-IN"/>
        </w:rPr>
        <w:t>Journal of University Teaching and Learning Practice</w:t>
      </w:r>
      <w:r>
        <w:rPr>
          <w:rFonts w:eastAsia="Arial"/>
          <w:lang w:eastAsia="zh-CN" w:bidi="hi-IN"/>
        </w:rPr>
        <w:t xml:space="preserve">, 21(06). </w:t>
      </w:r>
      <w:hyperlink r:id="rId25">
        <w:r w:rsidR="00E73B4A">
          <w:rPr>
            <w:rStyle w:val="Hyperlink"/>
            <w:rFonts w:eastAsia="Arial"/>
            <w:color w:val="000080"/>
            <w:lang w:eastAsia="zh-CN" w:bidi="hi-IN"/>
          </w:rPr>
          <w:t>https://doi.org/10.53761/pswgbw82</w:t>
        </w:r>
      </w:hyperlink>
    </w:p>
    <w:p w14:paraId="5FC69AB9" w14:textId="77777777" w:rsidR="00E73B4A" w:rsidRDefault="00000000">
      <w:pPr>
        <w:pStyle w:val="APA7ReferenceListEntry"/>
      </w:pPr>
      <w:r>
        <w:rPr>
          <w:rFonts w:eastAsia="Arial"/>
          <w:color w:val="000000"/>
          <w:lang w:eastAsia="zh-CN" w:bidi="hi-IN"/>
        </w:rPr>
        <w:t xml:space="preserve">Fekete, I., </w:t>
      </w:r>
      <w:proofErr w:type="spellStart"/>
      <w:r>
        <w:rPr>
          <w:rFonts w:eastAsia="Arial"/>
          <w:color w:val="000000"/>
          <w:lang w:eastAsia="zh-CN" w:bidi="hi-IN"/>
        </w:rPr>
        <w:t>Folmeg</w:t>
      </w:r>
      <w:proofErr w:type="spellEnd"/>
      <w:r>
        <w:rPr>
          <w:rFonts w:eastAsia="Arial"/>
          <w:color w:val="000000"/>
          <w:lang w:eastAsia="zh-CN" w:bidi="hi-IN"/>
        </w:rPr>
        <w:t xml:space="preserve">, M., &amp; </w:t>
      </w:r>
      <w:proofErr w:type="spellStart"/>
      <w:r>
        <w:rPr>
          <w:rFonts w:eastAsia="Arial"/>
          <w:color w:val="000000"/>
          <w:lang w:eastAsia="zh-CN" w:bidi="hi-IN"/>
        </w:rPr>
        <w:t>Kóris</w:t>
      </w:r>
      <w:proofErr w:type="spellEnd"/>
      <w:r>
        <w:rPr>
          <w:rFonts w:eastAsia="Arial"/>
          <w:color w:val="000000"/>
          <w:lang w:eastAsia="zh-CN" w:bidi="hi-IN"/>
        </w:rPr>
        <w:t xml:space="preserve">, R. (2024). </w:t>
      </w:r>
      <w:proofErr w:type="spellStart"/>
      <w:r>
        <w:rPr>
          <w:rFonts w:eastAsia="Arial"/>
          <w:color w:val="000000"/>
          <w:lang w:eastAsia="zh-CN" w:bidi="hi-IN"/>
        </w:rPr>
        <w:t>Lehetőségek</w:t>
      </w:r>
      <w:proofErr w:type="spellEnd"/>
      <w:r>
        <w:rPr>
          <w:rFonts w:eastAsia="Arial"/>
          <w:color w:val="000000"/>
          <w:lang w:eastAsia="zh-CN" w:bidi="hi-IN"/>
        </w:rPr>
        <w:t xml:space="preserve"> a </w:t>
      </w:r>
      <w:proofErr w:type="spellStart"/>
      <w:r>
        <w:rPr>
          <w:rFonts w:eastAsia="Arial"/>
          <w:color w:val="000000"/>
          <w:lang w:eastAsia="zh-CN" w:bidi="hi-IN"/>
        </w:rPr>
        <w:t>mesterséges</w:t>
      </w:r>
      <w:proofErr w:type="spellEnd"/>
      <w:r>
        <w:rPr>
          <w:rFonts w:eastAsia="Arial"/>
          <w:color w:val="000000"/>
          <w:lang w:eastAsia="zh-CN" w:bidi="hi-IN"/>
        </w:rPr>
        <w:t xml:space="preserve"> </w:t>
      </w:r>
      <w:proofErr w:type="spellStart"/>
      <w:r>
        <w:rPr>
          <w:rFonts w:eastAsia="Arial"/>
          <w:color w:val="000000"/>
          <w:lang w:eastAsia="zh-CN" w:bidi="hi-IN"/>
        </w:rPr>
        <w:t>intelligencia</w:t>
      </w:r>
      <w:proofErr w:type="spellEnd"/>
      <w:r>
        <w:rPr>
          <w:rFonts w:eastAsia="Arial"/>
          <w:color w:val="000000"/>
          <w:lang w:eastAsia="zh-CN" w:bidi="hi-IN"/>
        </w:rPr>
        <w:t xml:space="preserve"> </w:t>
      </w:r>
      <w:proofErr w:type="spellStart"/>
      <w:r>
        <w:rPr>
          <w:rFonts w:eastAsia="Arial"/>
          <w:color w:val="000000"/>
          <w:lang w:eastAsia="zh-CN" w:bidi="hi-IN"/>
        </w:rPr>
        <w:t>autonóm</w:t>
      </w:r>
      <w:proofErr w:type="spellEnd"/>
      <w:r>
        <w:rPr>
          <w:rFonts w:eastAsia="Arial"/>
          <w:color w:val="000000"/>
          <w:lang w:eastAsia="zh-CN" w:bidi="hi-IN"/>
        </w:rPr>
        <w:t xml:space="preserve"> </w:t>
      </w:r>
      <w:proofErr w:type="spellStart"/>
      <w:r>
        <w:rPr>
          <w:rFonts w:eastAsia="Arial"/>
          <w:color w:val="000000"/>
          <w:lang w:eastAsia="zh-CN" w:bidi="hi-IN"/>
        </w:rPr>
        <w:t>tanulói</w:t>
      </w:r>
      <w:proofErr w:type="spellEnd"/>
      <w:r>
        <w:rPr>
          <w:rFonts w:eastAsia="Arial"/>
          <w:color w:val="000000"/>
          <w:lang w:eastAsia="zh-CN" w:bidi="hi-IN"/>
        </w:rPr>
        <w:t xml:space="preserve"> </w:t>
      </w:r>
      <w:proofErr w:type="spellStart"/>
      <w:r>
        <w:rPr>
          <w:rFonts w:eastAsia="Arial"/>
          <w:color w:val="000000"/>
          <w:lang w:eastAsia="zh-CN" w:bidi="hi-IN"/>
        </w:rPr>
        <w:t>használatára</w:t>
      </w:r>
      <w:proofErr w:type="spellEnd"/>
      <w:r>
        <w:rPr>
          <w:rFonts w:eastAsia="Arial"/>
          <w:color w:val="000000"/>
          <w:lang w:eastAsia="zh-CN" w:bidi="hi-IN"/>
        </w:rPr>
        <w:t xml:space="preserve"> a </w:t>
      </w:r>
      <w:proofErr w:type="spellStart"/>
      <w:r>
        <w:rPr>
          <w:rFonts w:eastAsia="Arial"/>
          <w:color w:val="000000"/>
          <w:lang w:eastAsia="zh-CN" w:bidi="hi-IN"/>
        </w:rPr>
        <w:t>felsőoktatásban</w:t>
      </w:r>
      <w:proofErr w:type="spellEnd"/>
      <w:r>
        <w:rPr>
          <w:rFonts w:eastAsia="Arial"/>
          <w:color w:val="000000"/>
          <w:lang w:eastAsia="zh-CN" w:bidi="hi-IN"/>
        </w:rPr>
        <w:t xml:space="preserve">: </w:t>
      </w:r>
      <w:proofErr w:type="spellStart"/>
      <w:r>
        <w:rPr>
          <w:rFonts w:eastAsia="Arial"/>
          <w:color w:val="000000"/>
          <w:lang w:eastAsia="zh-CN" w:bidi="hi-IN"/>
        </w:rPr>
        <w:t>Három</w:t>
      </w:r>
      <w:proofErr w:type="spellEnd"/>
      <w:r>
        <w:rPr>
          <w:rFonts w:eastAsia="Arial"/>
          <w:color w:val="000000"/>
          <w:lang w:eastAsia="zh-CN" w:bidi="hi-IN"/>
        </w:rPr>
        <w:t xml:space="preserve"> </w:t>
      </w:r>
      <w:proofErr w:type="spellStart"/>
      <w:r>
        <w:rPr>
          <w:rFonts w:eastAsia="Arial"/>
          <w:color w:val="000000"/>
          <w:lang w:eastAsia="zh-CN" w:bidi="hi-IN"/>
        </w:rPr>
        <w:t>eset</w:t>
      </w:r>
      <w:proofErr w:type="spellEnd"/>
      <w:r>
        <w:rPr>
          <w:rFonts w:eastAsia="Arial"/>
          <w:color w:val="000000"/>
          <w:lang w:eastAsia="zh-CN" w:bidi="hi-IN"/>
        </w:rPr>
        <w:t xml:space="preserve"> </w:t>
      </w:r>
      <w:proofErr w:type="spellStart"/>
      <w:r>
        <w:rPr>
          <w:rFonts w:eastAsia="Arial"/>
          <w:color w:val="000000"/>
          <w:lang w:eastAsia="zh-CN" w:bidi="hi-IN"/>
        </w:rPr>
        <w:t>bemutatása</w:t>
      </w:r>
      <w:proofErr w:type="spellEnd"/>
      <w:r>
        <w:rPr>
          <w:rFonts w:eastAsia="Arial"/>
          <w:color w:val="000000"/>
          <w:lang w:eastAsia="zh-CN" w:bidi="hi-IN"/>
        </w:rPr>
        <w:t xml:space="preserve">. In </w:t>
      </w:r>
      <w:r>
        <w:rPr>
          <w:rFonts w:eastAsia="Arial"/>
          <w:color w:val="000000"/>
        </w:rPr>
        <w:t xml:space="preserve">Zs. </w:t>
      </w:r>
      <w:proofErr w:type="spellStart"/>
      <w:r>
        <w:rPr>
          <w:rFonts w:eastAsia="Arial"/>
          <w:color w:val="000000"/>
          <w:lang w:eastAsia="zh-CN" w:bidi="hi-IN"/>
        </w:rPr>
        <w:t>Géring</w:t>
      </w:r>
      <w:proofErr w:type="spellEnd"/>
      <w:r>
        <w:rPr>
          <w:rFonts w:eastAsia="Arial"/>
          <w:color w:val="000000"/>
          <w:lang w:eastAsia="zh-CN" w:bidi="hi-IN"/>
        </w:rPr>
        <w:t xml:space="preserve"> (Ed.), </w:t>
      </w:r>
      <w:r>
        <w:rPr>
          <w:rFonts w:eastAsia="Arial"/>
          <w:i/>
          <w:color w:val="000000"/>
          <w:lang w:eastAsia="zh-CN" w:bidi="hi-IN"/>
        </w:rPr>
        <w:t xml:space="preserve">FHERC </w:t>
      </w:r>
      <w:proofErr w:type="spellStart"/>
      <w:r>
        <w:rPr>
          <w:rFonts w:eastAsia="Arial"/>
          <w:i/>
          <w:color w:val="000000"/>
          <w:lang w:eastAsia="zh-CN" w:bidi="hi-IN"/>
        </w:rPr>
        <w:t>tanulmánykötet</w:t>
      </w:r>
      <w:proofErr w:type="spellEnd"/>
      <w:r>
        <w:rPr>
          <w:rFonts w:eastAsia="Arial"/>
          <w:i/>
          <w:color w:val="000000"/>
          <w:lang w:eastAsia="zh-CN" w:bidi="hi-IN"/>
        </w:rPr>
        <w:t xml:space="preserve"> I. </w:t>
      </w:r>
      <w:proofErr w:type="spellStart"/>
      <w:r>
        <w:rPr>
          <w:rFonts w:eastAsia="Arial"/>
          <w:i/>
          <w:color w:val="000000"/>
          <w:lang w:eastAsia="zh-CN" w:bidi="hi-IN"/>
        </w:rPr>
        <w:t>Digitalizáció</w:t>
      </w:r>
      <w:proofErr w:type="spellEnd"/>
      <w:r>
        <w:rPr>
          <w:rFonts w:eastAsia="Arial"/>
          <w:i/>
          <w:color w:val="000000"/>
          <w:lang w:eastAsia="zh-CN" w:bidi="hi-IN"/>
        </w:rPr>
        <w:t xml:space="preserve"> a </w:t>
      </w:r>
      <w:proofErr w:type="spellStart"/>
      <w:r>
        <w:rPr>
          <w:rFonts w:eastAsia="Arial"/>
          <w:i/>
          <w:color w:val="000000"/>
          <w:lang w:eastAsia="zh-CN" w:bidi="hi-IN"/>
        </w:rPr>
        <w:t>felsőoktatásban</w:t>
      </w:r>
      <w:proofErr w:type="spellEnd"/>
      <w:r>
        <w:rPr>
          <w:rFonts w:eastAsia="Arial"/>
          <w:i/>
          <w:color w:val="000000"/>
        </w:rPr>
        <w:t xml:space="preserve"> </w:t>
      </w:r>
      <w:r>
        <w:rPr>
          <w:rFonts w:eastAsia="Arial"/>
          <w:color w:val="000000"/>
        </w:rPr>
        <w:t>(pp. 48-59)</w:t>
      </w:r>
      <w:r>
        <w:rPr>
          <w:rFonts w:eastAsia="Arial"/>
          <w:i/>
          <w:color w:val="000000"/>
        </w:rPr>
        <w:t xml:space="preserve">. </w:t>
      </w:r>
      <w:proofErr w:type="spellStart"/>
      <w:r>
        <w:rPr>
          <w:rFonts w:eastAsia="Arial"/>
          <w:color w:val="000000"/>
          <w:lang w:eastAsia="zh-CN" w:bidi="hi-IN"/>
        </w:rPr>
        <w:t>Budapesti</w:t>
      </w:r>
      <w:proofErr w:type="spellEnd"/>
      <w:r>
        <w:rPr>
          <w:rFonts w:eastAsia="Arial"/>
          <w:color w:val="000000"/>
          <w:lang w:eastAsia="zh-CN" w:bidi="hi-IN"/>
        </w:rPr>
        <w:t xml:space="preserve"> </w:t>
      </w:r>
      <w:proofErr w:type="spellStart"/>
      <w:r>
        <w:rPr>
          <w:rFonts w:eastAsia="Arial"/>
          <w:color w:val="000000"/>
          <w:lang w:eastAsia="zh-CN" w:bidi="hi-IN"/>
        </w:rPr>
        <w:t>Gazdasági</w:t>
      </w:r>
      <w:proofErr w:type="spellEnd"/>
      <w:r>
        <w:rPr>
          <w:rFonts w:eastAsia="Arial"/>
          <w:color w:val="000000"/>
          <w:lang w:eastAsia="zh-CN" w:bidi="hi-IN"/>
        </w:rPr>
        <w:t xml:space="preserve"> </w:t>
      </w:r>
      <w:proofErr w:type="spellStart"/>
      <w:r>
        <w:rPr>
          <w:rFonts w:eastAsia="Arial"/>
          <w:color w:val="000000"/>
          <w:lang w:eastAsia="zh-CN" w:bidi="hi-IN"/>
        </w:rPr>
        <w:t>Egyetem</w:t>
      </w:r>
      <w:proofErr w:type="spellEnd"/>
      <w:r>
        <w:rPr>
          <w:rFonts w:eastAsia="Arial"/>
          <w:color w:val="000000"/>
        </w:rPr>
        <w:t>.</w:t>
      </w:r>
      <w:r>
        <w:rPr>
          <w:rFonts w:eastAsia="Arial"/>
          <w:color w:val="000000"/>
          <w:lang w:eastAsia="zh-CN" w:bidi="hi-IN"/>
        </w:rPr>
        <w:t xml:space="preserve"> </w:t>
      </w:r>
      <w:r>
        <w:rPr>
          <w:color w:val="000000"/>
          <w:u w:val="single"/>
        </w:rPr>
        <w:t>https://doi.org/10.29180/978-615-6342-88-1</w:t>
      </w:r>
    </w:p>
    <w:p w14:paraId="612AA75D" w14:textId="77777777" w:rsidR="00E73B4A" w:rsidRDefault="00000000">
      <w:pPr>
        <w:pStyle w:val="APA7ReferenceListEntry"/>
      </w:pPr>
      <w:proofErr w:type="spellStart"/>
      <w:r>
        <w:rPr>
          <w:rFonts w:eastAsia="Arial"/>
          <w:color w:val="000000"/>
          <w:shd w:val="clear" w:color="auto" w:fill="FFFFFF"/>
        </w:rPr>
        <w:t>Fihris</w:t>
      </w:r>
      <w:proofErr w:type="spellEnd"/>
      <w:r>
        <w:rPr>
          <w:rFonts w:eastAsia="Arial"/>
          <w:color w:val="000000"/>
          <w:shd w:val="clear" w:color="auto" w:fill="FFFFFF"/>
        </w:rPr>
        <w:t xml:space="preserve">, F., </w:t>
      </w:r>
      <w:proofErr w:type="spellStart"/>
      <w:r>
        <w:rPr>
          <w:rFonts w:eastAsia="Arial"/>
          <w:color w:val="000000"/>
          <w:shd w:val="clear" w:color="auto" w:fill="FFFFFF"/>
        </w:rPr>
        <w:t>Alfianika</w:t>
      </w:r>
      <w:proofErr w:type="spellEnd"/>
      <w:r>
        <w:rPr>
          <w:rFonts w:eastAsia="Arial"/>
          <w:color w:val="000000"/>
          <w:shd w:val="clear" w:color="auto" w:fill="FFFFFF"/>
        </w:rPr>
        <w:t xml:space="preserve">, N., &amp; </w:t>
      </w:r>
      <w:proofErr w:type="spellStart"/>
      <w:r>
        <w:rPr>
          <w:rFonts w:eastAsia="Arial"/>
          <w:color w:val="000000"/>
          <w:shd w:val="clear" w:color="auto" w:fill="FFFFFF"/>
        </w:rPr>
        <w:t>Nasikhin</w:t>
      </w:r>
      <w:proofErr w:type="spellEnd"/>
      <w:r>
        <w:rPr>
          <w:rFonts w:eastAsia="Arial"/>
          <w:color w:val="000000"/>
          <w:shd w:val="clear" w:color="auto" w:fill="FFFFFF"/>
        </w:rPr>
        <w:t xml:space="preserve">, N. (2024). Differences in Male and Female Responses to Artificial Intelligence Integration for Education Faculty: Study of Thailand International Students at Islamic Universities in Indonesia. </w:t>
      </w:r>
      <w:r>
        <w:rPr>
          <w:rStyle w:val="Emphasis"/>
          <w:rFonts w:eastAsia="Arial"/>
          <w:color w:val="000000"/>
          <w:shd w:val="clear" w:color="auto" w:fill="FFFFFF"/>
        </w:rPr>
        <w:t xml:space="preserve">ELHIKMAH: </w:t>
      </w:r>
      <w:proofErr w:type="spellStart"/>
      <w:r>
        <w:rPr>
          <w:rStyle w:val="Emphasis"/>
          <w:rFonts w:eastAsia="Arial"/>
          <w:color w:val="000000"/>
          <w:shd w:val="clear" w:color="auto" w:fill="FFFFFF"/>
        </w:rPr>
        <w:t>Jurnal</w:t>
      </w:r>
      <w:proofErr w:type="spellEnd"/>
      <w:r>
        <w:rPr>
          <w:rStyle w:val="Emphasis"/>
          <w:rFonts w:eastAsia="Arial"/>
          <w:color w:val="000000"/>
          <w:shd w:val="clear" w:color="auto" w:fill="FFFFFF"/>
        </w:rPr>
        <w:t xml:space="preserve"> Kajian dan </w:t>
      </w:r>
      <w:proofErr w:type="spellStart"/>
      <w:r>
        <w:rPr>
          <w:rStyle w:val="Emphasis"/>
          <w:rFonts w:eastAsia="Arial"/>
          <w:color w:val="000000"/>
          <w:shd w:val="clear" w:color="auto" w:fill="FFFFFF"/>
        </w:rPr>
        <w:t>Penelitian</w:t>
      </w:r>
      <w:proofErr w:type="spellEnd"/>
      <w:r>
        <w:rPr>
          <w:rStyle w:val="Emphasis"/>
          <w:rFonts w:eastAsia="Arial"/>
          <w:color w:val="000000"/>
          <w:shd w:val="clear" w:color="auto" w:fill="FFFFFF"/>
        </w:rPr>
        <w:t xml:space="preserve"> Pendidikan Islam</w:t>
      </w:r>
      <w:r>
        <w:rPr>
          <w:rFonts w:eastAsia="Arial"/>
          <w:color w:val="000000"/>
          <w:shd w:val="clear" w:color="auto" w:fill="FFFFFF"/>
        </w:rPr>
        <w:t xml:space="preserve">, 18(1), 31-60. </w:t>
      </w:r>
      <w:hyperlink r:id="rId26">
        <w:r w:rsidR="00E73B4A">
          <w:rPr>
            <w:rStyle w:val="Hyperlink"/>
            <w:rFonts w:eastAsia="Arial"/>
            <w:u w:val="none"/>
            <w:shd w:val="clear" w:color="auto" w:fill="FFFFFF"/>
          </w:rPr>
          <w:t>https://doi.org/10.20414/elhikmah.v18i1.10037</w:t>
        </w:r>
      </w:hyperlink>
      <w:r>
        <w:rPr>
          <w:rFonts w:eastAsia="Arial"/>
          <w:color w:val="000000"/>
          <w:shd w:val="clear" w:color="auto" w:fill="FFFFFF"/>
        </w:rPr>
        <w:t xml:space="preserve">.  </w:t>
      </w:r>
    </w:p>
    <w:p w14:paraId="3C6373CD" w14:textId="77777777" w:rsidR="00E73B4A" w:rsidRDefault="00000000">
      <w:pPr>
        <w:pStyle w:val="APA7ReferenceListEntry"/>
      </w:pPr>
      <w:proofErr w:type="spellStart"/>
      <w:r>
        <w:rPr>
          <w:rFonts w:eastAsia="Arial"/>
          <w:lang w:eastAsia="zh-CN" w:bidi="hi-IN"/>
        </w:rPr>
        <w:t>Folmeg</w:t>
      </w:r>
      <w:proofErr w:type="spellEnd"/>
      <w:r>
        <w:rPr>
          <w:rFonts w:eastAsia="Arial"/>
          <w:lang w:eastAsia="zh-CN" w:bidi="hi-IN"/>
        </w:rPr>
        <w:t xml:space="preserve">, M., Fekete, I., &amp; Koris, R. (2024). Towards identifying the components of students' AI literacy: An exploratory study based on higher education students' perceptions. </w:t>
      </w:r>
      <w:r>
        <w:rPr>
          <w:rFonts w:eastAsia="Arial"/>
          <w:i/>
          <w:lang w:eastAsia="zh-CN" w:bidi="hi-IN"/>
        </w:rPr>
        <w:t>Journal of University Teaching and Learning Practice</w:t>
      </w:r>
      <w:r>
        <w:rPr>
          <w:rFonts w:eastAsia="Arial"/>
          <w:lang w:eastAsia="zh-CN" w:bidi="hi-IN"/>
        </w:rPr>
        <w:t xml:space="preserve">, 21(6). </w:t>
      </w:r>
      <w:hyperlink r:id="rId27">
        <w:r w:rsidR="00E73B4A">
          <w:rPr>
            <w:rFonts w:eastAsia="Arial"/>
            <w:u w:val="single"/>
            <w:lang w:eastAsia="zh-CN" w:bidi="hi-IN"/>
          </w:rPr>
          <w:t>https://doi.org/10.53761/wzyrwj33</w:t>
        </w:r>
      </w:hyperlink>
      <w:r>
        <w:rPr>
          <w:rFonts w:eastAsia="Arial"/>
          <w:lang w:eastAsia="zh-CN" w:bidi="hi-IN"/>
        </w:rPr>
        <w:t xml:space="preserve">  </w:t>
      </w:r>
    </w:p>
    <w:p w14:paraId="4E5E5138" w14:textId="77777777" w:rsidR="00E73B4A" w:rsidRDefault="00000000">
      <w:pPr>
        <w:pStyle w:val="APA7ReferenceListEntry"/>
      </w:pPr>
      <w:r>
        <w:rPr>
          <w:rFonts w:eastAsia="Arial"/>
        </w:rPr>
        <w:t xml:space="preserve">Gilardi, F., Alizadeh, M., &amp; Kubli, M. (2023). ChatGPT outperforms crowd workers for text-annotation tasks. </w:t>
      </w:r>
      <w:r>
        <w:rPr>
          <w:rStyle w:val="Emphasis"/>
          <w:rFonts w:eastAsia="Arial"/>
        </w:rPr>
        <w:t>Proceedings of the National Academy of Sciences of the United States of America, 120</w:t>
      </w:r>
      <w:r>
        <w:rPr>
          <w:rFonts w:eastAsia="Arial"/>
        </w:rPr>
        <w:t xml:space="preserve">(30), Article e2305016120. </w:t>
      </w:r>
      <w:hyperlink r:id="rId28">
        <w:r w:rsidR="00E73B4A">
          <w:rPr>
            <w:rStyle w:val="Hyperlink"/>
            <w:rFonts w:eastAsia="Arial"/>
          </w:rPr>
          <w:t>https://doi.org/10.1073/pnas.2305016120</w:t>
        </w:r>
      </w:hyperlink>
    </w:p>
    <w:p w14:paraId="135EB1B4" w14:textId="77777777" w:rsidR="00E73B4A" w:rsidRDefault="00000000">
      <w:pPr>
        <w:pStyle w:val="APA7ReferenceListEntry"/>
      </w:pPr>
      <w:r>
        <w:rPr>
          <w:rFonts w:eastAsia="Arial"/>
          <w:lang w:eastAsia="zh-CN" w:bidi="hi-IN"/>
        </w:rPr>
        <w:t>Grassini, S. (2023). Shaping the future of education: Exploring the potential and consequences of AI and ChatGPT in educational settings.</w:t>
      </w:r>
      <w:r>
        <w:rPr>
          <w:rFonts w:eastAsia="Arial"/>
          <w:i/>
          <w:lang w:eastAsia="zh-CN" w:bidi="hi-IN"/>
        </w:rPr>
        <w:t xml:space="preserve"> Education Sciences, </w:t>
      </w:r>
      <w:r>
        <w:rPr>
          <w:rFonts w:eastAsia="Arial"/>
          <w:lang w:eastAsia="zh-CN" w:bidi="hi-IN"/>
        </w:rPr>
        <w:t>13(7)</w:t>
      </w:r>
      <w:r>
        <w:rPr>
          <w:rFonts w:eastAsia="Arial"/>
        </w:rPr>
        <w:t>,</w:t>
      </w:r>
      <w:r>
        <w:rPr>
          <w:rFonts w:eastAsia="Arial"/>
          <w:lang w:eastAsia="zh-CN" w:bidi="hi-IN"/>
        </w:rPr>
        <w:t xml:space="preserve"> 692. </w:t>
      </w:r>
      <w:hyperlink r:id="rId29">
        <w:r w:rsidR="00E73B4A">
          <w:rPr>
            <w:rStyle w:val="Hyperlink"/>
            <w:rFonts w:eastAsia="Arial"/>
          </w:rPr>
          <w:t>https://doi.org/10.3390/educsci1307069</w:t>
        </w:r>
      </w:hyperlink>
      <w:r>
        <w:rPr>
          <w:rFonts w:eastAsia="Arial"/>
          <w:u w:val="single"/>
        </w:rPr>
        <w:t xml:space="preserve"> </w:t>
      </w:r>
    </w:p>
    <w:p w14:paraId="32D4107F" w14:textId="77777777" w:rsidR="00E73B4A" w:rsidRDefault="00000000">
      <w:pPr>
        <w:pStyle w:val="APA7ReferenceListEntry"/>
      </w:pPr>
      <w:r>
        <w:rPr>
          <w:rFonts w:eastAsia="Arial"/>
          <w:lang w:eastAsia="zh-CN" w:bidi="hi-IN"/>
        </w:rPr>
        <w:t>Green, A. (2024)</w:t>
      </w:r>
      <w:r>
        <w:rPr>
          <w:rFonts w:eastAsia="Arial"/>
        </w:rPr>
        <w:t>.</w:t>
      </w:r>
      <w:r>
        <w:rPr>
          <w:rFonts w:eastAsia="Arial"/>
          <w:lang w:eastAsia="zh-CN" w:bidi="hi-IN"/>
        </w:rPr>
        <w:t xml:space="preserve"> Artificial intelligence and the changing demand for skills in the labour market, </w:t>
      </w:r>
      <w:r>
        <w:rPr>
          <w:rFonts w:eastAsia="Arial"/>
          <w:i/>
          <w:lang w:eastAsia="zh-CN" w:bidi="hi-IN"/>
        </w:rPr>
        <w:t>OECD Artificial Intelligence Papers</w:t>
      </w:r>
      <w:r>
        <w:rPr>
          <w:rFonts w:eastAsia="Arial"/>
          <w:lang w:eastAsia="zh-CN" w:bidi="hi-IN"/>
        </w:rPr>
        <w:t>, No. 14, OECD Publishing</w:t>
      </w:r>
      <w:r>
        <w:rPr>
          <w:rFonts w:eastAsia="Arial"/>
        </w:rPr>
        <w:t xml:space="preserve">. </w:t>
      </w:r>
      <w:hyperlink r:id="rId30">
        <w:r w:rsidR="00E73B4A">
          <w:rPr>
            <w:rFonts w:eastAsia="Arial"/>
            <w:color w:val="1155CC"/>
            <w:u w:val="single"/>
            <w:lang w:eastAsia="zh-CN" w:bidi="hi-IN"/>
          </w:rPr>
          <w:t>https://doi.org/10.1787/88684e36-en</w:t>
        </w:r>
      </w:hyperlink>
      <w:r>
        <w:rPr>
          <w:rFonts w:eastAsia="Arial"/>
          <w:u w:val="single"/>
          <w:lang w:eastAsia="zh-CN" w:bidi="hi-IN"/>
        </w:rPr>
        <w:t xml:space="preserve">. </w:t>
      </w:r>
    </w:p>
    <w:p w14:paraId="0C89A444" w14:textId="77777777" w:rsidR="00E73B4A" w:rsidRDefault="00000000">
      <w:pPr>
        <w:pStyle w:val="APA7ReferenceListEntry"/>
      </w:pPr>
      <w:r>
        <w:rPr>
          <w:rFonts w:eastAsia="Arial"/>
          <w:color w:val="000000"/>
          <w:shd w:val="clear" w:color="auto" w:fill="FFFFFF"/>
          <w:lang w:eastAsia="zh-CN" w:bidi="hi-IN"/>
        </w:rPr>
        <w:lastRenderedPageBreak/>
        <w:t xml:space="preserve">Hines, K. (2023, July 18). Should </w:t>
      </w:r>
      <w:r>
        <w:rPr>
          <w:rFonts w:eastAsia="Arial"/>
          <w:shd w:val="clear" w:color="auto" w:fill="FFFFFF"/>
        </w:rPr>
        <w:t>y</w:t>
      </w:r>
      <w:r>
        <w:rPr>
          <w:rFonts w:eastAsia="Arial"/>
          <w:color w:val="000000"/>
          <w:shd w:val="clear" w:color="auto" w:fill="FFFFFF"/>
          <w:lang w:eastAsia="zh-CN" w:bidi="hi-IN"/>
        </w:rPr>
        <w:t xml:space="preserve">ou </w:t>
      </w:r>
      <w:r>
        <w:rPr>
          <w:rFonts w:eastAsia="Arial"/>
          <w:shd w:val="clear" w:color="auto" w:fill="FFFFFF"/>
        </w:rPr>
        <w:t>t</w:t>
      </w:r>
      <w:r>
        <w:rPr>
          <w:rFonts w:eastAsia="Arial"/>
          <w:color w:val="000000"/>
          <w:shd w:val="clear" w:color="auto" w:fill="FFFFFF"/>
          <w:lang w:eastAsia="zh-CN" w:bidi="hi-IN"/>
        </w:rPr>
        <w:t xml:space="preserve">rust </w:t>
      </w:r>
      <w:r>
        <w:rPr>
          <w:rFonts w:eastAsia="Arial"/>
          <w:shd w:val="clear" w:color="auto" w:fill="FFFFFF"/>
        </w:rPr>
        <w:t>a</w:t>
      </w:r>
      <w:r>
        <w:rPr>
          <w:rFonts w:eastAsia="Arial"/>
          <w:color w:val="000000"/>
          <w:shd w:val="clear" w:color="auto" w:fill="FFFFFF"/>
          <w:lang w:eastAsia="zh-CN" w:bidi="hi-IN"/>
        </w:rPr>
        <w:t xml:space="preserve">n AI </w:t>
      </w:r>
      <w:r>
        <w:rPr>
          <w:rFonts w:eastAsia="Arial"/>
          <w:shd w:val="clear" w:color="auto" w:fill="FFFFFF"/>
        </w:rPr>
        <w:t>d</w:t>
      </w:r>
      <w:r>
        <w:rPr>
          <w:rFonts w:eastAsia="Arial"/>
          <w:color w:val="000000"/>
          <w:shd w:val="clear" w:color="auto" w:fill="FFFFFF"/>
          <w:lang w:eastAsia="zh-CN" w:bidi="hi-IN"/>
        </w:rPr>
        <w:t xml:space="preserve">etector? </w:t>
      </w:r>
      <w:r>
        <w:rPr>
          <w:rFonts w:eastAsia="Arial"/>
          <w:i/>
          <w:color w:val="000000"/>
          <w:shd w:val="clear" w:color="auto" w:fill="FFFFFF"/>
          <w:lang w:eastAsia="zh-CN" w:bidi="hi-IN"/>
        </w:rPr>
        <w:t>Search Engine Journal.</w:t>
      </w:r>
      <w:r>
        <w:rPr>
          <w:rFonts w:eastAsia="Arial"/>
          <w:color w:val="000000"/>
          <w:shd w:val="clear" w:color="auto" w:fill="FFFFFF"/>
          <w:lang w:eastAsia="zh-CN" w:bidi="hi-IN"/>
        </w:rPr>
        <w:t xml:space="preserve"> </w:t>
      </w:r>
      <w:hyperlink r:id="rId31" w:anchor="close" w:history="1">
        <w:r w:rsidR="00E73B4A">
          <w:rPr>
            <w:rFonts w:eastAsia="Arial"/>
            <w:color w:val="000000"/>
            <w:u w:val="single"/>
            <w:shd w:val="clear" w:color="auto" w:fill="FFFFFF"/>
            <w:lang w:eastAsia="zh-CN" w:bidi="hi-IN"/>
          </w:rPr>
          <w:t>https://www.searchenginejournal.com/should-you-trust-an-a-detector/491949/#close</w:t>
        </w:r>
      </w:hyperlink>
      <w:r>
        <w:rPr>
          <w:rFonts w:eastAsia="Arial"/>
          <w:color w:val="000000"/>
          <w:shd w:val="clear" w:color="auto" w:fill="FFFFFF"/>
          <w:lang w:eastAsia="zh-CN" w:bidi="hi-IN"/>
        </w:rPr>
        <w:t xml:space="preserve">. </w:t>
      </w:r>
    </w:p>
    <w:p w14:paraId="176F8D29" w14:textId="77777777" w:rsidR="00E73B4A" w:rsidRDefault="00000000">
      <w:pPr>
        <w:pStyle w:val="APA7ReferenceListEntry"/>
      </w:pPr>
      <w:sdt>
        <w:sdtPr>
          <w:tag w:val="goog_rdk_38"/>
          <w:id w:val="797114626"/>
        </w:sdtPr>
        <w:sdtContent/>
      </w:sdt>
      <w:hyperlink r:id="rId32">
        <w:r w:rsidR="00E73B4A">
          <w:rPr>
            <w:rFonts w:eastAsia="Arial"/>
            <w:color w:val="000000"/>
            <w:shd w:val="clear" w:color="auto" w:fill="FFFFFF"/>
            <w:lang w:eastAsia="zh-CN" w:bidi="hi-IN"/>
          </w:rPr>
          <w:t xml:space="preserve">Howington, J. (2023). The AI gender gap: Exploring variances in workplace adoption. </w:t>
        </w:r>
      </w:hyperlink>
      <w:r>
        <w:rPr>
          <w:rFonts w:eastAsia="Arial"/>
          <w:i/>
          <w:color w:val="000000"/>
          <w:shd w:val="clear" w:color="auto" w:fill="FFFFFF"/>
          <w:lang w:eastAsia="zh-CN" w:bidi="hi-IN"/>
        </w:rPr>
        <w:t>Flexjobs.com,</w:t>
      </w:r>
      <w:r>
        <w:rPr>
          <w:rFonts w:eastAsia="Arial"/>
          <w:color w:val="000000"/>
          <w:shd w:val="clear" w:color="auto" w:fill="FFFFFF"/>
          <w:lang w:eastAsia="zh-CN" w:bidi="hi-IN"/>
        </w:rPr>
        <w:t xml:space="preserve"> </w:t>
      </w:r>
      <w:hyperlink r:id="rId33">
        <w:r w:rsidR="00E73B4A">
          <w:rPr>
            <w:rFonts w:eastAsia="Arial"/>
            <w:color w:val="000000"/>
            <w:u w:val="single"/>
            <w:shd w:val="clear" w:color="auto" w:fill="FFFFFF"/>
            <w:lang w:eastAsia="zh-CN" w:bidi="hi-IN"/>
          </w:rPr>
          <w:t>https://www.flexjobs.com/blog/post/the-ai-gender-gap-exploring-variances-in-workplace-adoption</w:t>
        </w:r>
      </w:hyperlink>
    </w:p>
    <w:p w14:paraId="2D872A2C" w14:textId="77777777" w:rsidR="00E73B4A" w:rsidRDefault="00000000">
      <w:pPr>
        <w:pStyle w:val="APA7ReferenceListEntry"/>
      </w:pPr>
      <w:r>
        <w:rPr>
          <w:rFonts w:eastAsia="Arial"/>
          <w:color w:val="000000"/>
          <w:shd w:val="clear" w:color="auto" w:fill="FFFFFF"/>
          <w:lang w:eastAsia="zh-CN" w:bidi="hi-IN"/>
        </w:rPr>
        <w:t xml:space="preserve">Hrportal.hu (2023). A Corvinus </w:t>
      </w:r>
      <w:proofErr w:type="spellStart"/>
      <w:r>
        <w:rPr>
          <w:rFonts w:eastAsia="Arial"/>
          <w:color w:val="000000"/>
          <w:shd w:val="clear" w:color="auto" w:fill="FFFFFF"/>
          <w:lang w:eastAsia="zh-CN" w:bidi="hi-IN"/>
        </w:rPr>
        <w:t>Egyetem</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hallgatóinak</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többsége</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használ</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mesterséges</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intelligenciát</w:t>
      </w:r>
      <w:proofErr w:type="spellEnd"/>
      <w:r>
        <w:rPr>
          <w:rFonts w:eastAsia="Arial"/>
          <w:color w:val="000000"/>
          <w:shd w:val="clear" w:color="auto" w:fill="FFFFFF"/>
          <w:lang w:eastAsia="zh-CN" w:bidi="hi-IN"/>
        </w:rPr>
        <w:t xml:space="preserve">. </w:t>
      </w:r>
      <w:r>
        <w:rPr>
          <w:rFonts w:eastAsia="Arial"/>
          <w:i/>
          <w:color w:val="000000"/>
          <w:shd w:val="clear" w:color="auto" w:fill="FFFFFF"/>
          <w:lang w:eastAsia="zh-CN" w:bidi="hi-IN"/>
        </w:rPr>
        <w:t>Hrportal.hu.</w:t>
      </w:r>
      <w:r>
        <w:rPr>
          <w:rFonts w:eastAsia="Arial"/>
          <w:color w:val="000000"/>
          <w:shd w:val="clear" w:color="auto" w:fill="FFFFFF"/>
          <w:lang w:eastAsia="zh-CN" w:bidi="hi-IN"/>
        </w:rPr>
        <w:t xml:space="preserve"> </w:t>
      </w:r>
      <w:hyperlink r:id="rId34">
        <w:r w:rsidR="00E73B4A">
          <w:rPr>
            <w:rFonts w:eastAsia="Arial"/>
            <w:color w:val="000000"/>
            <w:u w:val="single"/>
            <w:shd w:val="clear" w:color="auto" w:fill="FFFFFF"/>
            <w:lang w:eastAsia="zh-CN" w:bidi="hi-IN"/>
          </w:rPr>
          <w:t>https://www.hrportal.hu/c/a-corvinus-egyetem-hallgatoinak-tobbsege-hasznal-mesterseges-intelligenciat-20230621.html</w:t>
        </w:r>
      </w:hyperlink>
      <w:r>
        <w:rPr>
          <w:rFonts w:eastAsia="Arial"/>
          <w:lang w:eastAsia="zh-CN" w:bidi="hi-IN"/>
        </w:rPr>
        <w:t xml:space="preserve"> </w:t>
      </w:r>
    </w:p>
    <w:p w14:paraId="3569B061" w14:textId="77777777" w:rsidR="00E73B4A" w:rsidRDefault="00000000">
      <w:pPr>
        <w:pStyle w:val="APA7ReferenceListEntry"/>
      </w:pPr>
      <w:r>
        <w:rPr>
          <w:rFonts w:eastAsia="Arial"/>
          <w:shd w:val="clear" w:color="auto" w:fill="FFFFFF"/>
        </w:rPr>
        <w:t xml:space="preserve">Iddrisu, H. M., Iddrisu, S. A., &amp; Aminu, B. (2025). Gender differences in the adoption, usage, and perceived effectiveness of AI writing tools: A study among University for Development Studies students. </w:t>
      </w:r>
      <w:r>
        <w:rPr>
          <w:rStyle w:val="Emphasis"/>
          <w:rFonts w:eastAsia="Arial"/>
          <w:shd w:val="clear" w:color="auto" w:fill="FFFFFF"/>
        </w:rPr>
        <w:t>International Journal of Educational Innovation and Research</w:t>
      </w:r>
      <w:r>
        <w:rPr>
          <w:rFonts w:eastAsia="Arial"/>
          <w:shd w:val="clear" w:color="auto" w:fill="FFFFFF"/>
        </w:rPr>
        <w:t xml:space="preserve">, </w:t>
      </w:r>
      <w:r>
        <w:rPr>
          <w:rStyle w:val="Emphasis"/>
          <w:rFonts w:eastAsia="Arial"/>
          <w:shd w:val="clear" w:color="auto" w:fill="FFFFFF"/>
        </w:rPr>
        <w:t>4</w:t>
      </w:r>
      <w:r>
        <w:rPr>
          <w:rFonts w:eastAsia="Arial"/>
          <w:shd w:val="clear" w:color="auto" w:fill="FFFFFF"/>
        </w:rPr>
        <w:t xml:space="preserve">(1), 100-111. </w:t>
      </w:r>
      <w:hyperlink r:id="rId35">
        <w:r w:rsidR="00E73B4A">
          <w:rPr>
            <w:rStyle w:val="Hyperlink"/>
            <w:rFonts w:eastAsia="Arial"/>
            <w:shd w:val="clear" w:color="auto" w:fill="FFFFFF"/>
          </w:rPr>
          <w:t>https://doi.org/10.31949/ijeir.v4i1.11717</w:t>
        </w:r>
      </w:hyperlink>
    </w:p>
    <w:p w14:paraId="32A03D46" w14:textId="77777777" w:rsidR="00E73B4A" w:rsidRDefault="00000000">
      <w:pPr>
        <w:pStyle w:val="APA7ReferenceListEntry"/>
      </w:pPr>
      <w:r>
        <w:rPr>
          <w:rStyle w:val="Hyperlink"/>
          <w:rFonts w:eastAsia="Arial"/>
          <w:color w:val="000000"/>
          <w:u w:val="none"/>
        </w:rPr>
        <w:t xml:space="preserve">Khater, A. S., </w:t>
      </w:r>
      <w:proofErr w:type="spellStart"/>
      <w:r>
        <w:rPr>
          <w:rStyle w:val="Hyperlink"/>
          <w:rFonts w:eastAsia="Arial"/>
          <w:color w:val="000000"/>
          <w:u w:val="none"/>
        </w:rPr>
        <w:t>Zaaqoq</w:t>
      </w:r>
      <w:proofErr w:type="spellEnd"/>
      <w:r>
        <w:rPr>
          <w:rStyle w:val="Hyperlink"/>
          <w:rFonts w:eastAsia="Arial"/>
          <w:color w:val="000000"/>
          <w:u w:val="none"/>
        </w:rPr>
        <w:t xml:space="preserve">, A. A., Wahdan, M. M., &amp; Ashry, S. (2023). Knowledge and Attitude of Ain Shams University Medical Students towards Artificial Intelligence and its Application in Medical Education and Practice. </w:t>
      </w:r>
      <w:r>
        <w:rPr>
          <w:rStyle w:val="Emphasis"/>
          <w:rFonts w:eastAsia="Arial"/>
          <w:color w:val="000000"/>
        </w:rPr>
        <w:t>Educational Research &amp; Innovation Journal, 10</w:t>
      </w:r>
      <w:r>
        <w:rPr>
          <w:rStyle w:val="Hyperlink"/>
          <w:rFonts w:eastAsia="Arial"/>
          <w:color w:val="000000"/>
          <w:u w:val="none"/>
        </w:rPr>
        <w:t xml:space="preserve">(10), 30-42. </w:t>
      </w:r>
      <w:hyperlink r:id="rId36" w:tgtFrame="_blank">
        <w:r w:rsidR="00E73B4A">
          <w:rPr>
            <w:rStyle w:val="Hyperlink"/>
            <w:rFonts w:eastAsia="Arial"/>
            <w:color w:val="000000"/>
            <w:u w:val="none"/>
          </w:rPr>
          <w:t>https://doi.org/10.21608/erji.2023.306718</w:t>
        </w:r>
      </w:hyperlink>
    </w:p>
    <w:p w14:paraId="485B7D92" w14:textId="77777777" w:rsidR="00E73B4A" w:rsidRDefault="00000000">
      <w:pPr>
        <w:pStyle w:val="APA7ReferenceListEntry"/>
      </w:pPr>
      <w:proofErr w:type="spellStart"/>
      <w:r>
        <w:rPr>
          <w:rFonts w:eastAsia="Arial"/>
          <w:lang w:eastAsia="zh-CN" w:bidi="hi-IN"/>
        </w:rPr>
        <w:t>Kanont</w:t>
      </w:r>
      <w:proofErr w:type="spellEnd"/>
      <w:r>
        <w:rPr>
          <w:rFonts w:eastAsia="Arial"/>
          <w:lang w:eastAsia="zh-CN" w:bidi="hi-IN"/>
        </w:rPr>
        <w:t xml:space="preserve">, K., </w:t>
      </w:r>
      <w:proofErr w:type="spellStart"/>
      <w:r>
        <w:rPr>
          <w:rFonts w:eastAsia="Arial"/>
          <w:lang w:eastAsia="zh-CN" w:bidi="hi-IN"/>
        </w:rPr>
        <w:t>Pingmuang</w:t>
      </w:r>
      <w:proofErr w:type="spellEnd"/>
      <w:r>
        <w:rPr>
          <w:rFonts w:eastAsia="Arial"/>
          <w:lang w:eastAsia="zh-CN" w:bidi="hi-IN"/>
        </w:rPr>
        <w:t xml:space="preserve">, P., </w:t>
      </w:r>
      <w:proofErr w:type="spellStart"/>
      <w:r>
        <w:rPr>
          <w:rFonts w:eastAsia="Arial"/>
          <w:lang w:eastAsia="zh-CN" w:bidi="hi-IN"/>
        </w:rPr>
        <w:t>Simasathien</w:t>
      </w:r>
      <w:proofErr w:type="spellEnd"/>
      <w:r>
        <w:rPr>
          <w:rFonts w:eastAsia="Arial"/>
          <w:lang w:eastAsia="zh-CN" w:bidi="hi-IN"/>
        </w:rPr>
        <w:t xml:space="preserve">, T., </w:t>
      </w:r>
      <w:proofErr w:type="spellStart"/>
      <w:r>
        <w:rPr>
          <w:rFonts w:eastAsia="Arial"/>
          <w:lang w:eastAsia="zh-CN" w:bidi="hi-IN"/>
        </w:rPr>
        <w:t>Wisnuwong</w:t>
      </w:r>
      <w:proofErr w:type="spellEnd"/>
      <w:r>
        <w:rPr>
          <w:rFonts w:eastAsia="Arial"/>
          <w:lang w:eastAsia="zh-CN" w:bidi="hi-IN"/>
        </w:rPr>
        <w:t xml:space="preserve">, S., </w:t>
      </w:r>
      <w:proofErr w:type="spellStart"/>
      <w:r>
        <w:rPr>
          <w:rFonts w:eastAsia="Arial"/>
          <w:lang w:eastAsia="zh-CN" w:bidi="hi-IN"/>
        </w:rPr>
        <w:t>Wiwatsiripong</w:t>
      </w:r>
      <w:proofErr w:type="spellEnd"/>
      <w:r>
        <w:rPr>
          <w:rFonts w:eastAsia="Arial"/>
          <w:lang w:eastAsia="zh-CN" w:bidi="hi-IN"/>
        </w:rPr>
        <w:t xml:space="preserve">, B., </w:t>
      </w:r>
      <w:proofErr w:type="spellStart"/>
      <w:r>
        <w:rPr>
          <w:rFonts w:eastAsia="Arial"/>
          <w:lang w:eastAsia="zh-CN" w:bidi="hi-IN"/>
        </w:rPr>
        <w:t>Poonpirome</w:t>
      </w:r>
      <w:proofErr w:type="spellEnd"/>
      <w:r>
        <w:rPr>
          <w:rFonts w:eastAsia="Arial"/>
          <w:lang w:eastAsia="zh-CN" w:bidi="hi-IN"/>
        </w:rPr>
        <w:t xml:space="preserve">, K., </w:t>
      </w:r>
      <w:proofErr w:type="spellStart"/>
      <w:r>
        <w:rPr>
          <w:rFonts w:eastAsia="Arial"/>
          <w:lang w:eastAsia="zh-CN" w:bidi="hi-IN"/>
        </w:rPr>
        <w:t>Songkram</w:t>
      </w:r>
      <w:proofErr w:type="spellEnd"/>
      <w:r>
        <w:rPr>
          <w:rFonts w:eastAsia="Arial"/>
          <w:lang w:eastAsia="zh-CN" w:bidi="hi-IN"/>
        </w:rPr>
        <w:t xml:space="preserve">, N., &amp; </w:t>
      </w:r>
      <w:proofErr w:type="spellStart"/>
      <w:r>
        <w:rPr>
          <w:rFonts w:eastAsia="Arial"/>
          <w:lang w:eastAsia="zh-CN" w:bidi="hi-IN"/>
        </w:rPr>
        <w:t>Khlaisang</w:t>
      </w:r>
      <w:proofErr w:type="spellEnd"/>
      <w:r>
        <w:rPr>
          <w:rFonts w:eastAsia="Arial"/>
          <w:lang w:eastAsia="zh-CN" w:bidi="hi-IN"/>
        </w:rPr>
        <w:t xml:space="preserve">, J. (2024). Generative-AI, a Learning Assistant? Factors Influencing Higher-Ed Students’ Technology Acceptance. </w:t>
      </w:r>
      <w:r>
        <w:rPr>
          <w:rFonts w:eastAsia="Arial"/>
          <w:i/>
          <w:lang w:eastAsia="zh-CN" w:bidi="hi-IN"/>
        </w:rPr>
        <w:t>Electronic Journal of E-Learning</w:t>
      </w:r>
      <w:r>
        <w:rPr>
          <w:rFonts w:eastAsia="Arial"/>
          <w:lang w:eastAsia="zh-CN" w:bidi="hi-IN"/>
        </w:rPr>
        <w:t xml:space="preserve">, 22(6), 18–33. </w:t>
      </w:r>
      <w:hyperlink r:id="rId37">
        <w:r w:rsidR="00E73B4A">
          <w:rPr>
            <w:rFonts w:eastAsia="Arial"/>
            <w:color w:val="000080"/>
            <w:u w:val="single"/>
            <w:lang w:eastAsia="zh-CN" w:bidi="hi-IN"/>
          </w:rPr>
          <w:t>https://doi.org/10.34190/ejel.22.6.3196</w:t>
        </w:r>
      </w:hyperlink>
    </w:p>
    <w:p w14:paraId="78ED2D64" w14:textId="77777777" w:rsidR="00E73B4A" w:rsidRDefault="00000000">
      <w:pPr>
        <w:pStyle w:val="APA7ReferenceListEntry"/>
      </w:pPr>
      <w:r>
        <w:rPr>
          <w:rFonts w:eastAsia="Arial"/>
          <w:shd w:val="clear" w:color="auto" w:fill="FFFFFF"/>
        </w:rPr>
        <w:t xml:space="preserve">Kaya, F., Aydin, F., Schepman, A., Rodway, P., </w:t>
      </w:r>
      <w:proofErr w:type="spellStart"/>
      <w:r>
        <w:rPr>
          <w:rFonts w:eastAsia="Arial"/>
          <w:shd w:val="clear" w:color="auto" w:fill="FFFFFF"/>
        </w:rPr>
        <w:t>Yetişensoy</w:t>
      </w:r>
      <w:proofErr w:type="spellEnd"/>
      <w:r>
        <w:rPr>
          <w:rFonts w:eastAsia="Arial"/>
          <w:shd w:val="clear" w:color="auto" w:fill="FFFFFF"/>
        </w:rPr>
        <w:t>, O., &amp; Demir Kaya, M. (2024). The roles of personality traits, AI anxiety, and demographic factors in attitudes toward artificial intelligence. </w:t>
      </w:r>
      <w:r>
        <w:rPr>
          <w:rFonts w:eastAsia="Arial"/>
          <w:i/>
          <w:iCs/>
          <w:shd w:val="clear" w:color="auto" w:fill="FFFFFF"/>
        </w:rPr>
        <w:t>International Journal of Human–Computer Interaction</w:t>
      </w:r>
      <w:r>
        <w:rPr>
          <w:rFonts w:eastAsia="Arial"/>
          <w:shd w:val="clear" w:color="auto" w:fill="FFFFFF"/>
        </w:rPr>
        <w:t>, </w:t>
      </w:r>
      <w:r>
        <w:rPr>
          <w:rFonts w:eastAsia="Arial"/>
          <w:i/>
          <w:iCs/>
          <w:shd w:val="clear" w:color="auto" w:fill="FFFFFF"/>
        </w:rPr>
        <w:t>40</w:t>
      </w:r>
      <w:r>
        <w:rPr>
          <w:rFonts w:eastAsia="Arial"/>
          <w:shd w:val="clear" w:color="auto" w:fill="FFFFFF"/>
        </w:rPr>
        <w:t xml:space="preserve">(2), 497-514. </w:t>
      </w:r>
      <w:hyperlink r:id="rId38">
        <w:r w:rsidR="00E73B4A">
          <w:rPr>
            <w:rStyle w:val="Hyperlink"/>
            <w:rFonts w:eastAsia="Arial"/>
            <w:shd w:val="clear" w:color="auto" w:fill="FFFFFF"/>
          </w:rPr>
          <w:t>https://doi.org/10.1080/10447318.2022.2151730</w:t>
        </w:r>
      </w:hyperlink>
      <w:r>
        <w:rPr>
          <w:rFonts w:eastAsia="Arial"/>
          <w:shd w:val="clear" w:color="auto" w:fill="FFFFFF"/>
        </w:rPr>
        <w:t xml:space="preserve"> </w:t>
      </w:r>
    </w:p>
    <w:p w14:paraId="3DF34FFC" w14:textId="77777777" w:rsidR="00E73B4A" w:rsidRDefault="00000000">
      <w:pPr>
        <w:pStyle w:val="APA7ReferenceListEntry"/>
      </w:pPr>
      <w:r>
        <w:rPr>
          <w:rFonts w:eastAsia="Roboto" w:cs="Roboto"/>
          <w:color w:val="222222"/>
          <w:shd w:val="clear" w:color="auto" w:fill="FFFFFF"/>
          <w:lang w:eastAsia="zh-CN" w:bidi="hi-IN"/>
        </w:rPr>
        <w:t xml:space="preserve">Møgelvang, A., Bjelland, C., Grassini, S., &amp; Ludvigsen, K. (2024). Gender Differences in the Use of Generative Artificial Intelligence Chatbots in Higher Education: Characteristics and Consequences. </w:t>
      </w:r>
      <w:r>
        <w:rPr>
          <w:rFonts w:eastAsia="Roboto" w:cs="Roboto"/>
          <w:i/>
          <w:color w:val="222222"/>
          <w:shd w:val="clear" w:color="auto" w:fill="FFFFFF"/>
          <w:lang w:eastAsia="zh-CN" w:bidi="hi-IN"/>
        </w:rPr>
        <w:t>Education Sciences</w:t>
      </w:r>
      <w:r>
        <w:rPr>
          <w:rFonts w:eastAsia="Roboto" w:cs="Roboto"/>
          <w:color w:val="222222"/>
          <w:shd w:val="clear" w:color="auto" w:fill="FFFFFF"/>
          <w:lang w:eastAsia="zh-CN" w:bidi="hi-IN"/>
        </w:rPr>
        <w:t xml:space="preserve">, </w:t>
      </w:r>
      <w:r>
        <w:rPr>
          <w:rFonts w:eastAsia="Roboto" w:cs="Roboto"/>
          <w:i/>
          <w:color w:val="222222"/>
          <w:shd w:val="clear" w:color="auto" w:fill="FFFFFF"/>
          <w:lang w:eastAsia="zh-CN" w:bidi="hi-IN"/>
        </w:rPr>
        <w:t>14</w:t>
      </w:r>
      <w:r>
        <w:rPr>
          <w:rFonts w:eastAsia="Roboto" w:cs="Roboto"/>
          <w:color w:val="222222"/>
          <w:shd w:val="clear" w:color="auto" w:fill="FFFFFF"/>
          <w:lang w:eastAsia="zh-CN" w:bidi="hi-IN"/>
        </w:rPr>
        <w:t xml:space="preserve">(12), 1363. </w:t>
      </w:r>
      <w:hyperlink r:id="rId39">
        <w:r w:rsidR="00E73B4A">
          <w:rPr>
            <w:rStyle w:val="Hyperlink"/>
            <w:rFonts w:eastAsia="Roboto" w:cs="Roboto"/>
            <w:color w:val="222222"/>
            <w:shd w:val="clear" w:color="auto" w:fill="FFFFFF"/>
            <w:lang w:eastAsia="zh-CN" w:bidi="hi-IN"/>
          </w:rPr>
          <w:t>https://doi.org/10.3390/educsci14121363</w:t>
        </w:r>
      </w:hyperlink>
      <w:r>
        <w:rPr>
          <w:rFonts w:eastAsia="Roboto" w:cs="Roboto"/>
          <w:color w:val="222222"/>
          <w:shd w:val="clear" w:color="auto" w:fill="FFFFFF"/>
        </w:rPr>
        <w:t xml:space="preserve"> </w:t>
      </w:r>
    </w:p>
    <w:p w14:paraId="3A505DB9" w14:textId="77777777" w:rsidR="00E73B4A" w:rsidRDefault="00000000">
      <w:pPr>
        <w:pStyle w:val="APA7ReferenceListEntry"/>
      </w:pPr>
      <w:r>
        <w:rPr>
          <w:rFonts w:eastAsia="Arial"/>
          <w:color w:val="222222"/>
          <w:shd w:val="clear" w:color="auto" w:fill="FFFFFF"/>
          <w:lang w:eastAsia="zh-CN" w:bidi="hi-IN"/>
        </w:rPr>
        <w:t xml:space="preserve">Møgelvang, A. &amp; Grassini, S. (2024). A validation of the AI attitude scale (AIAS-4) in a large Norwegian student sample. </w:t>
      </w:r>
      <w:r>
        <w:rPr>
          <w:rFonts w:eastAsia="Arial"/>
          <w:i/>
          <w:color w:val="222222"/>
          <w:shd w:val="clear" w:color="auto" w:fill="FFFFFF"/>
          <w:lang w:eastAsia="zh-CN" w:bidi="hi-IN"/>
        </w:rPr>
        <w:t>OSF</w:t>
      </w:r>
      <w:r>
        <w:rPr>
          <w:rFonts w:eastAsia="Arial"/>
          <w:color w:val="222222"/>
          <w:shd w:val="clear" w:color="auto" w:fill="FFFFFF"/>
          <w:lang w:eastAsia="zh-CN" w:bidi="hi-IN"/>
        </w:rPr>
        <w:t>.</w:t>
      </w:r>
      <w:r>
        <w:rPr>
          <w:rFonts w:eastAsia="Arial"/>
          <w:color w:val="222222"/>
          <w:shd w:val="clear" w:color="auto" w:fill="FFFFFF"/>
        </w:rPr>
        <w:t xml:space="preserve"> Preprint,  </w:t>
      </w:r>
      <w:hyperlink r:id="rId40">
        <w:r w:rsidR="00E73B4A">
          <w:rPr>
            <w:rStyle w:val="Hyperlink"/>
            <w:rFonts w:eastAsia="Arial"/>
            <w:color w:val="222222"/>
            <w:shd w:val="clear" w:color="auto" w:fill="FFFFFF"/>
          </w:rPr>
          <w:t>https://osf.io/preprints/osf/7x5k9_v1</w:t>
        </w:r>
      </w:hyperlink>
      <w:r>
        <w:rPr>
          <w:rFonts w:eastAsia="Arial"/>
          <w:color w:val="222222"/>
          <w:shd w:val="clear" w:color="auto" w:fill="FFFFFF"/>
        </w:rPr>
        <w:t xml:space="preserve"> </w:t>
      </w:r>
    </w:p>
    <w:p w14:paraId="3828609E" w14:textId="77777777" w:rsidR="00E73B4A" w:rsidRDefault="00000000">
      <w:pPr>
        <w:pStyle w:val="APA7ReferenceListEntry"/>
      </w:pPr>
      <w:r>
        <w:rPr>
          <w:rFonts w:eastAsia="Arial"/>
          <w:color w:val="222222"/>
        </w:rPr>
        <w:t xml:space="preserve">Nath, S., Katoch, O., &amp; Sehgal, S. (2024). Revolutionizing research in social sciences: The transformative potential of ChatGPT. </w:t>
      </w:r>
      <w:r>
        <w:rPr>
          <w:rStyle w:val="Emphasis"/>
          <w:rFonts w:eastAsia="Arial"/>
          <w:color w:val="222222"/>
        </w:rPr>
        <w:t>Asian Journal of Education and Social Studies, 50</w:t>
      </w:r>
      <w:r>
        <w:rPr>
          <w:rFonts w:eastAsia="Arial"/>
          <w:color w:val="222222"/>
        </w:rPr>
        <w:t xml:space="preserve">(3), 209–214. </w:t>
      </w:r>
      <w:hyperlink r:id="rId41">
        <w:r w:rsidR="00E73B4A">
          <w:rPr>
            <w:rStyle w:val="Hyperlink"/>
            <w:rFonts w:eastAsia="Arial"/>
          </w:rPr>
          <w:t>https://doi.org/10.9734/ajess/2024/v50i31296</w:t>
        </w:r>
      </w:hyperlink>
    </w:p>
    <w:p w14:paraId="000F6226" w14:textId="77777777" w:rsidR="00E73B4A" w:rsidRDefault="00000000">
      <w:pPr>
        <w:pStyle w:val="APA7ReferenceListEntry"/>
      </w:pPr>
      <w:r>
        <w:rPr>
          <w:rFonts w:eastAsia="Arial"/>
          <w:color w:val="000000"/>
          <w:shd w:val="clear" w:color="auto" w:fill="FFFFFF"/>
          <w:lang w:eastAsia="zh-CN" w:bidi="hi-IN"/>
        </w:rPr>
        <w:t xml:space="preserve">Nguyen, A., </w:t>
      </w:r>
      <w:proofErr w:type="spellStart"/>
      <w:r>
        <w:rPr>
          <w:rFonts w:eastAsia="Arial"/>
          <w:color w:val="000000"/>
          <w:shd w:val="clear" w:color="auto" w:fill="FFFFFF"/>
          <w:lang w:eastAsia="zh-CN" w:bidi="hi-IN"/>
        </w:rPr>
        <w:t>Kremantzis</w:t>
      </w:r>
      <w:proofErr w:type="spellEnd"/>
      <w:r>
        <w:rPr>
          <w:rFonts w:eastAsia="Arial"/>
          <w:color w:val="000000"/>
          <w:shd w:val="clear" w:color="auto" w:fill="FFFFFF"/>
          <w:lang w:eastAsia="zh-CN" w:bidi="hi-IN"/>
        </w:rPr>
        <w:t xml:space="preserve">, M., Essien, A., </w:t>
      </w:r>
      <w:proofErr w:type="spellStart"/>
      <w:r>
        <w:rPr>
          <w:rFonts w:eastAsia="Arial"/>
          <w:color w:val="000000"/>
          <w:shd w:val="clear" w:color="auto" w:fill="FFFFFF"/>
          <w:lang w:eastAsia="zh-CN" w:bidi="hi-IN"/>
        </w:rPr>
        <w:t>Petrounias</w:t>
      </w:r>
      <w:proofErr w:type="spellEnd"/>
      <w:r>
        <w:rPr>
          <w:rFonts w:eastAsia="Arial"/>
          <w:color w:val="000000"/>
          <w:shd w:val="clear" w:color="auto" w:fill="FFFFFF"/>
          <w:lang w:eastAsia="zh-CN" w:bidi="hi-IN"/>
        </w:rPr>
        <w:t xml:space="preserve">, I., &amp; Hosseini, S. (2024). Editorial: Enhancing Student Engagement Through Artificial Intelligence (AI): Understanding the Basics, Opportunities, and Challenges. </w:t>
      </w:r>
      <w:r>
        <w:rPr>
          <w:rFonts w:eastAsia="Arial"/>
          <w:i/>
          <w:color w:val="000000"/>
          <w:shd w:val="clear" w:color="auto" w:fill="FFFFFF"/>
          <w:lang w:eastAsia="zh-CN" w:bidi="hi-IN"/>
        </w:rPr>
        <w:t>Journal of University Teaching and Learning Practice</w:t>
      </w:r>
      <w:r>
        <w:rPr>
          <w:rFonts w:eastAsia="Arial"/>
          <w:color w:val="000000"/>
          <w:shd w:val="clear" w:color="auto" w:fill="FFFFFF"/>
          <w:lang w:eastAsia="zh-CN" w:bidi="hi-IN"/>
        </w:rPr>
        <w:t xml:space="preserve">, 21(06). </w:t>
      </w:r>
      <w:hyperlink r:id="rId42">
        <w:r w:rsidR="00E73B4A">
          <w:rPr>
            <w:rStyle w:val="Hyperlink"/>
            <w:rFonts w:eastAsia="Arial"/>
            <w:color w:val="1155CC"/>
            <w:shd w:val="clear" w:color="auto" w:fill="FFFFFF"/>
            <w:lang w:eastAsia="zh-CN" w:bidi="hi-IN"/>
          </w:rPr>
          <w:t>https://doi.org/10.53761/caraaq92</w:t>
        </w:r>
      </w:hyperlink>
    </w:p>
    <w:p w14:paraId="6934E9A0" w14:textId="77777777" w:rsidR="00E73B4A" w:rsidRDefault="00000000">
      <w:pPr>
        <w:pStyle w:val="APA7ReferenceListEntry"/>
      </w:pPr>
      <w:r>
        <w:rPr>
          <w:rFonts w:eastAsia="Arial"/>
          <w:color w:val="000000"/>
          <w:shd w:val="clear" w:color="auto" w:fill="FFFFFF"/>
        </w:rPr>
        <w:lastRenderedPageBreak/>
        <w:t xml:space="preserve">Ofosu-Ampong, K. (2023). Gender Differences in Perception of Artificial Intelligence-Based Tools. </w:t>
      </w:r>
      <w:r>
        <w:rPr>
          <w:rStyle w:val="Emphasis"/>
          <w:rFonts w:eastAsia="Arial"/>
          <w:color w:val="000000"/>
          <w:shd w:val="clear" w:color="auto" w:fill="FFFFFF"/>
        </w:rPr>
        <w:t>Journal of Digital Art &amp; Humanities, 4</w:t>
      </w:r>
      <w:r>
        <w:rPr>
          <w:rFonts w:eastAsia="Arial"/>
          <w:color w:val="000000"/>
          <w:shd w:val="clear" w:color="auto" w:fill="FFFFFF"/>
        </w:rPr>
        <w:t xml:space="preserve">(2), 52-56. </w:t>
      </w:r>
      <w:hyperlink r:id="rId43">
        <w:r w:rsidR="00E73B4A">
          <w:rPr>
            <w:rStyle w:val="Hyperlink"/>
            <w:rFonts w:eastAsia="Arial"/>
            <w:shd w:val="clear" w:color="auto" w:fill="FFFFFF"/>
          </w:rPr>
          <w:t>https://doi.org/10.33847/2712-8149.4.2.5</w:t>
        </w:r>
      </w:hyperlink>
      <w:r>
        <w:rPr>
          <w:rStyle w:val="Hyperlink"/>
          <w:rFonts w:eastAsia="Arial"/>
          <w:color w:val="000000"/>
          <w:u w:val="none"/>
          <w:shd w:val="clear" w:color="auto" w:fill="FFFFFF"/>
        </w:rPr>
        <w:t xml:space="preserve"> </w:t>
      </w:r>
    </w:p>
    <w:p w14:paraId="2DF38435" w14:textId="77777777" w:rsidR="00E73B4A" w:rsidRDefault="00000000">
      <w:pPr>
        <w:pStyle w:val="APA7ReferenceListEntry"/>
      </w:pPr>
      <w:r>
        <w:rPr>
          <w:rFonts w:eastAsia="Arial"/>
          <w:lang w:eastAsia="zh-CN" w:bidi="hi-IN"/>
        </w:rPr>
        <w:t xml:space="preserve">Pang, T. Y., </w:t>
      </w:r>
      <w:proofErr w:type="spellStart"/>
      <w:r>
        <w:rPr>
          <w:rFonts w:eastAsia="Arial"/>
          <w:lang w:eastAsia="zh-CN" w:bidi="hi-IN"/>
        </w:rPr>
        <w:t>Kootsookos</w:t>
      </w:r>
      <w:proofErr w:type="spellEnd"/>
      <w:r>
        <w:rPr>
          <w:rFonts w:eastAsia="Arial"/>
          <w:lang w:eastAsia="zh-CN" w:bidi="hi-IN"/>
        </w:rPr>
        <w:t xml:space="preserve">, A., &amp; Cheng, C.T. (2024). Artificial Intelligence Use in Feedback: A Qualitative Analysis. </w:t>
      </w:r>
      <w:r>
        <w:rPr>
          <w:rFonts w:eastAsia="Arial"/>
          <w:i/>
          <w:lang w:eastAsia="zh-CN" w:bidi="hi-IN"/>
        </w:rPr>
        <w:t>Journal of University Teaching and Learning Practice,</w:t>
      </w:r>
      <w:r>
        <w:rPr>
          <w:rFonts w:eastAsia="Arial"/>
          <w:lang w:eastAsia="zh-CN" w:bidi="hi-IN"/>
        </w:rPr>
        <w:t xml:space="preserve"> 21(06). </w:t>
      </w:r>
      <w:hyperlink r:id="rId44">
        <w:r w:rsidR="00E73B4A">
          <w:rPr>
            <w:rStyle w:val="Hyperlink"/>
            <w:rFonts w:eastAsia="Arial"/>
            <w:color w:val="auto"/>
            <w:lang w:eastAsia="zh-CN" w:bidi="hi-IN"/>
          </w:rPr>
          <w:t>https://doi.org/10.53761/40wmcj98</w:t>
        </w:r>
      </w:hyperlink>
      <w:r>
        <w:rPr>
          <w:rFonts w:eastAsia="Arial"/>
        </w:rPr>
        <w:t xml:space="preserve"> </w:t>
      </w:r>
    </w:p>
    <w:p w14:paraId="7223A7A3" w14:textId="77777777" w:rsidR="00E73B4A" w:rsidRDefault="00000000">
      <w:pPr>
        <w:pStyle w:val="APA7ReferenceListEntry"/>
      </w:pPr>
      <w:r>
        <w:rPr>
          <w:rFonts w:eastAsia="Arial"/>
          <w:color w:val="222222"/>
          <w:sz w:val="24"/>
          <w:shd w:val="clear" w:color="auto" w:fill="FFFFFF"/>
        </w:rPr>
        <w:t xml:space="preserve">Rahman, M.M., Babiker, A., &amp; Ali, R. (2025). Motivation, Concerns, and Attitudes Towards AI: Differences by Gender, Age, and Culture. In: </w:t>
      </w:r>
      <w:proofErr w:type="spellStart"/>
      <w:r>
        <w:rPr>
          <w:rFonts w:eastAsia="Arial"/>
          <w:color w:val="222222"/>
          <w:sz w:val="24"/>
          <w:shd w:val="clear" w:color="auto" w:fill="FFFFFF"/>
        </w:rPr>
        <w:t>Barhamgi</w:t>
      </w:r>
      <w:proofErr w:type="spellEnd"/>
      <w:r>
        <w:rPr>
          <w:rFonts w:eastAsia="Arial"/>
          <w:color w:val="222222"/>
          <w:sz w:val="24"/>
          <w:shd w:val="clear" w:color="auto" w:fill="FFFFFF"/>
        </w:rPr>
        <w:t xml:space="preserve">, M., Wang, H., Wang, X. (eds) Web Information Systems Engineering – WISE 2024. WISE 2024. Lecture Notes in Computer Science, vol 15439. Springer, Singapore. </w:t>
      </w:r>
      <w:hyperlink r:id="rId45">
        <w:r w:rsidR="00E73B4A">
          <w:rPr>
            <w:rStyle w:val="Hyperlink"/>
            <w:rFonts w:eastAsia="Arial"/>
            <w:color w:val="222222"/>
            <w:sz w:val="24"/>
            <w:shd w:val="clear" w:color="auto" w:fill="FFFFFF"/>
          </w:rPr>
          <w:t>https://doi.org/10.1007/978-981-96-0573-6_28</w:t>
        </w:r>
      </w:hyperlink>
      <w:r>
        <w:rPr>
          <w:rFonts w:eastAsia="Arial"/>
          <w:color w:val="222222"/>
          <w:sz w:val="24"/>
          <w:shd w:val="clear" w:color="auto" w:fill="FFFFFF"/>
        </w:rPr>
        <w:t xml:space="preserve"> </w:t>
      </w:r>
      <w:r>
        <w:rPr>
          <w:rFonts w:eastAsia="Arial"/>
          <w:shd w:val="clear" w:color="auto" w:fill="FFFFFF"/>
        </w:rPr>
        <w:t xml:space="preserve"> </w:t>
      </w:r>
    </w:p>
    <w:p w14:paraId="5CE315DE" w14:textId="77777777" w:rsidR="00E73B4A" w:rsidRDefault="00000000">
      <w:pPr>
        <w:pStyle w:val="APA7ReferenceListEntry"/>
      </w:pPr>
      <w:r>
        <w:rPr>
          <w:rFonts w:eastAsia="Arial"/>
          <w:color w:val="000000"/>
          <w:shd w:val="clear" w:color="auto" w:fill="FFFFFF"/>
          <w:lang w:eastAsia="zh-CN" w:bidi="hi-IN"/>
        </w:rPr>
        <w:t xml:space="preserve">Rajki, Z. (2023). A </w:t>
      </w:r>
      <w:proofErr w:type="spellStart"/>
      <w:r>
        <w:rPr>
          <w:rFonts w:eastAsia="Arial"/>
          <w:color w:val="000000"/>
          <w:shd w:val="clear" w:color="auto" w:fill="FFFFFF"/>
          <w:lang w:eastAsia="zh-CN" w:bidi="hi-IN"/>
        </w:rPr>
        <w:t>mesterséges</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intelligencián</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alapuló</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alkalmazások</w:t>
      </w:r>
      <w:proofErr w:type="spellEnd"/>
      <w:r>
        <w:rPr>
          <w:rFonts w:eastAsia="Arial"/>
          <w:color w:val="000000"/>
          <w:shd w:val="clear" w:color="auto" w:fill="FFFFFF"/>
          <w:lang w:eastAsia="zh-CN" w:bidi="hi-IN"/>
        </w:rPr>
        <w:t xml:space="preserve"> a </w:t>
      </w:r>
      <w:proofErr w:type="spellStart"/>
      <w:r>
        <w:rPr>
          <w:rFonts w:eastAsia="Arial"/>
          <w:color w:val="000000"/>
          <w:shd w:val="clear" w:color="auto" w:fill="FFFFFF"/>
          <w:lang w:eastAsia="zh-CN" w:bidi="hi-IN"/>
        </w:rPr>
        <w:t>bölcsészet</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társadalomtudomány</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és</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az</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oktatás</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területén</w:t>
      </w:r>
      <w:proofErr w:type="spellEnd"/>
      <w:r>
        <w:rPr>
          <w:rFonts w:eastAsia="Arial"/>
          <w:color w:val="000000"/>
          <w:shd w:val="clear" w:color="auto" w:fill="FFFFFF"/>
          <w:lang w:eastAsia="zh-CN" w:bidi="hi-IN"/>
        </w:rPr>
        <w:t xml:space="preserve">. </w:t>
      </w:r>
      <w:proofErr w:type="spellStart"/>
      <w:r>
        <w:rPr>
          <w:rFonts w:eastAsia="Arial"/>
          <w:i/>
          <w:color w:val="000000"/>
          <w:shd w:val="clear" w:color="auto" w:fill="FFFFFF"/>
          <w:lang w:eastAsia="zh-CN" w:bidi="hi-IN"/>
        </w:rPr>
        <w:t>Humán</w:t>
      </w:r>
      <w:proofErr w:type="spellEnd"/>
      <w:r>
        <w:rPr>
          <w:rFonts w:eastAsia="Arial"/>
          <w:i/>
          <w:color w:val="000000"/>
          <w:shd w:val="clear" w:color="auto" w:fill="FFFFFF"/>
          <w:lang w:eastAsia="zh-CN" w:bidi="hi-IN"/>
        </w:rPr>
        <w:t xml:space="preserve"> </w:t>
      </w:r>
      <w:proofErr w:type="spellStart"/>
      <w:r>
        <w:rPr>
          <w:rFonts w:eastAsia="Arial"/>
          <w:i/>
          <w:color w:val="000000"/>
          <w:shd w:val="clear" w:color="auto" w:fill="FFFFFF"/>
          <w:lang w:eastAsia="zh-CN" w:bidi="hi-IN"/>
        </w:rPr>
        <w:t>Innovációs</w:t>
      </w:r>
      <w:proofErr w:type="spellEnd"/>
      <w:r>
        <w:rPr>
          <w:rFonts w:eastAsia="Arial"/>
          <w:i/>
          <w:color w:val="000000"/>
          <w:shd w:val="clear" w:color="auto" w:fill="FFFFFF"/>
          <w:lang w:eastAsia="zh-CN" w:bidi="hi-IN"/>
        </w:rPr>
        <w:t xml:space="preserve"> </w:t>
      </w:r>
      <w:proofErr w:type="spellStart"/>
      <w:r>
        <w:rPr>
          <w:rFonts w:eastAsia="Arial"/>
          <w:i/>
          <w:color w:val="000000"/>
          <w:shd w:val="clear" w:color="auto" w:fill="FFFFFF"/>
          <w:lang w:eastAsia="zh-CN" w:bidi="hi-IN"/>
        </w:rPr>
        <w:t>Szemle</w:t>
      </w:r>
      <w:proofErr w:type="spellEnd"/>
      <w:r>
        <w:rPr>
          <w:rFonts w:eastAsia="Arial"/>
          <w:color w:val="000000"/>
          <w:shd w:val="clear" w:color="auto" w:fill="FFFFFF"/>
          <w:lang w:eastAsia="zh-CN" w:bidi="hi-IN"/>
        </w:rPr>
        <w:t xml:space="preserve">, 14(2), 4-21. </w:t>
      </w:r>
      <w:hyperlink r:id="rId46">
        <w:r w:rsidR="00E73B4A">
          <w:rPr>
            <w:rFonts w:eastAsia="Arial"/>
            <w:color w:val="000000"/>
            <w:shd w:val="clear" w:color="auto" w:fill="FFFFFF"/>
          </w:rPr>
          <w:t> </w:t>
        </w:r>
      </w:hyperlink>
      <w:hyperlink r:id="rId47">
        <w:r w:rsidR="00E73B4A">
          <w:rPr>
            <w:rStyle w:val="Hyperlink"/>
            <w:rFonts w:eastAsia="Arial"/>
            <w:color w:val="000000"/>
            <w:u w:val="none"/>
            <w:bdr w:val="single" w:sz="2" w:space="1" w:color="D6CECC"/>
          </w:rPr>
          <w:t>https://doi.org/10.61177/HISZ.2023.14.2.1</w:t>
        </w:r>
      </w:hyperlink>
      <w:r>
        <w:rPr>
          <w:rFonts w:eastAsia="Arial"/>
          <w:color w:val="000000"/>
          <w:bdr w:val="single" w:sz="2" w:space="1" w:color="D6CECC"/>
        </w:rPr>
        <w:t xml:space="preserve"> </w:t>
      </w:r>
      <w:r>
        <w:rPr>
          <w:rFonts w:eastAsia="Arial"/>
        </w:rPr>
        <w:t xml:space="preserve"> </w:t>
      </w:r>
    </w:p>
    <w:p w14:paraId="0ECAD705" w14:textId="77777777" w:rsidR="00E73B4A" w:rsidRDefault="00000000">
      <w:pPr>
        <w:pStyle w:val="APA7ReferenceListEntry"/>
      </w:pPr>
      <w:r>
        <w:rPr>
          <w:rFonts w:eastAsia="Arial"/>
          <w:color w:val="000000"/>
          <w:shd w:val="clear" w:color="auto" w:fill="FFFFFF"/>
          <w:lang w:eastAsia="zh-CN" w:bidi="hi-IN"/>
        </w:rPr>
        <w:t xml:space="preserve">Rajki, Z., T. Nagy, J., &amp; </w:t>
      </w:r>
      <w:proofErr w:type="spellStart"/>
      <w:r>
        <w:rPr>
          <w:rFonts w:eastAsia="Arial"/>
          <w:color w:val="000000"/>
          <w:shd w:val="clear" w:color="auto" w:fill="FFFFFF"/>
          <w:lang w:eastAsia="zh-CN" w:bidi="hi-IN"/>
        </w:rPr>
        <w:t>Dringó</w:t>
      </w:r>
      <w:proofErr w:type="spellEnd"/>
      <w:r>
        <w:rPr>
          <w:rFonts w:eastAsia="Arial"/>
          <w:color w:val="000000"/>
          <w:shd w:val="clear" w:color="auto" w:fill="FFFFFF"/>
          <w:lang w:eastAsia="zh-CN" w:bidi="hi-IN"/>
        </w:rPr>
        <w:t xml:space="preserve">-Horváth, I. (2024). A </w:t>
      </w:r>
      <w:proofErr w:type="spellStart"/>
      <w:r>
        <w:rPr>
          <w:rFonts w:eastAsia="Arial"/>
          <w:color w:val="000000"/>
          <w:shd w:val="clear" w:color="auto" w:fill="FFFFFF"/>
          <w:lang w:eastAsia="zh-CN" w:bidi="hi-IN"/>
        </w:rPr>
        <w:t>mesterséges</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intelligencia</w:t>
      </w:r>
      <w:proofErr w:type="spellEnd"/>
      <w:r>
        <w:rPr>
          <w:rFonts w:eastAsia="Arial"/>
          <w:color w:val="000000"/>
          <w:shd w:val="clear" w:color="auto" w:fill="FFFFFF"/>
          <w:lang w:eastAsia="zh-CN" w:bidi="hi-IN"/>
        </w:rPr>
        <w:t xml:space="preserve"> a </w:t>
      </w:r>
      <w:proofErr w:type="spellStart"/>
      <w:r>
        <w:rPr>
          <w:rFonts w:eastAsia="Arial"/>
          <w:color w:val="000000"/>
          <w:shd w:val="clear" w:color="auto" w:fill="FFFFFF"/>
          <w:lang w:eastAsia="zh-CN" w:bidi="hi-IN"/>
        </w:rPr>
        <w:t>felsőoktatásban</w:t>
      </w:r>
      <w:proofErr w:type="spellEnd"/>
      <w:r>
        <w:rPr>
          <w:rFonts w:eastAsia="Arial"/>
          <w:color w:val="000000"/>
          <w:shd w:val="clear" w:color="auto" w:fill="FFFFFF"/>
          <w:lang w:eastAsia="zh-CN" w:bidi="hi-IN"/>
        </w:rPr>
        <w:t>:</w:t>
      </w:r>
      <w:r>
        <w:rPr>
          <w:rFonts w:eastAsia="Arial"/>
          <w:color w:val="000000"/>
          <w:shd w:val="clear" w:color="auto" w:fill="FFFFFF"/>
        </w:rPr>
        <w:t xml:space="preserve"> </w:t>
      </w:r>
      <w:proofErr w:type="spellStart"/>
      <w:r>
        <w:rPr>
          <w:rFonts w:eastAsia="Arial"/>
          <w:color w:val="000000"/>
          <w:shd w:val="clear" w:color="auto" w:fill="FFFFFF"/>
        </w:rPr>
        <w:t>H</w:t>
      </w:r>
      <w:r>
        <w:rPr>
          <w:rFonts w:eastAsia="Arial"/>
          <w:color w:val="000000"/>
          <w:shd w:val="clear" w:color="auto" w:fill="FFFFFF"/>
          <w:lang w:eastAsia="zh-CN" w:bidi="hi-IN"/>
        </w:rPr>
        <w:t>allgatói</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hozzáférés</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attitűd</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és</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felhasználási</w:t>
      </w:r>
      <w:proofErr w:type="spellEnd"/>
      <w:r>
        <w:rPr>
          <w:rFonts w:eastAsia="Arial"/>
          <w:color w:val="000000"/>
          <w:shd w:val="clear" w:color="auto" w:fill="FFFFFF"/>
          <w:lang w:eastAsia="zh-CN" w:bidi="hi-IN"/>
        </w:rPr>
        <w:t xml:space="preserve"> </w:t>
      </w:r>
      <w:proofErr w:type="spellStart"/>
      <w:r>
        <w:rPr>
          <w:rFonts w:eastAsia="Arial"/>
          <w:color w:val="000000"/>
          <w:shd w:val="clear" w:color="auto" w:fill="FFFFFF"/>
          <w:lang w:eastAsia="zh-CN" w:bidi="hi-IN"/>
        </w:rPr>
        <w:t>gyakorlat</w:t>
      </w:r>
      <w:proofErr w:type="spellEnd"/>
      <w:r>
        <w:rPr>
          <w:rFonts w:eastAsia="Arial"/>
          <w:color w:val="000000"/>
          <w:shd w:val="clear" w:color="auto" w:fill="FFFFFF"/>
          <w:lang w:eastAsia="zh-CN" w:bidi="hi-IN"/>
        </w:rPr>
        <w:t>. </w:t>
      </w:r>
      <w:proofErr w:type="spellStart"/>
      <w:r>
        <w:rPr>
          <w:rFonts w:eastAsia="Arial"/>
          <w:i/>
          <w:color w:val="000000"/>
          <w:shd w:val="clear" w:color="auto" w:fill="FFFFFF"/>
          <w:lang w:eastAsia="zh-CN" w:bidi="hi-IN"/>
        </w:rPr>
        <w:t>Iskolakultúra</w:t>
      </w:r>
      <w:proofErr w:type="spellEnd"/>
      <w:r>
        <w:rPr>
          <w:rFonts w:eastAsia="Arial"/>
          <w:color w:val="000000"/>
          <w:shd w:val="clear" w:color="auto" w:fill="FFFFFF"/>
          <w:lang w:eastAsia="zh-CN" w:bidi="hi-IN"/>
        </w:rPr>
        <w:t>, </w:t>
      </w:r>
      <w:r>
        <w:rPr>
          <w:rFonts w:eastAsia="Arial"/>
          <w:i/>
          <w:color w:val="000000"/>
          <w:shd w:val="clear" w:color="auto" w:fill="FFFFFF"/>
          <w:lang w:eastAsia="zh-CN" w:bidi="hi-IN"/>
        </w:rPr>
        <w:t>34</w:t>
      </w:r>
      <w:r>
        <w:rPr>
          <w:rFonts w:eastAsia="Arial"/>
          <w:color w:val="000000"/>
          <w:shd w:val="clear" w:color="auto" w:fill="FFFFFF"/>
          <w:lang w:eastAsia="zh-CN" w:bidi="hi-IN"/>
        </w:rPr>
        <w:t xml:space="preserve">(7), 3–22. </w:t>
      </w:r>
      <w:hyperlink r:id="rId48">
        <w:r w:rsidR="00E73B4A">
          <w:rPr>
            <w:rStyle w:val="Hyperlink"/>
            <w:rFonts w:eastAsia="Arial"/>
            <w:color w:val="000000"/>
            <w:shd w:val="clear" w:color="auto" w:fill="FFFFFF"/>
            <w:lang w:eastAsia="zh-CN" w:bidi="hi-IN"/>
          </w:rPr>
          <w:t>https://doi.org/10.14232/iskkult.2024.7.3</w:t>
        </w:r>
      </w:hyperlink>
      <w:r>
        <w:rPr>
          <w:rFonts w:eastAsia="Arial"/>
          <w:color w:val="000000"/>
          <w:shd w:val="clear" w:color="auto" w:fill="FFFFFF"/>
        </w:rPr>
        <w:t xml:space="preserve"> </w:t>
      </w:r>
      <w:r>
        <w:rPr>
          <w:rFonts w:eastAsia="Arial"/>
          <w:color w:val="000000"/>
          <w:shd w:val="clear" w:color="auto" w:fill="FFFFFF"/>
          <w:lang w:eastAsia="zh-CN" w:bidi="hi-IN"/>
        </w:rPr>
        <w:t xml:space="preserve"> </w:t>
      </w:r>
    </w:p>
    <w:p w14:paraId="16A7877A" w14:textId="77777777" w:rsidR="00E73B4A" w:rsidRDefault="00000000">
      <w:pPr>
        <w:pStyle w:val="APA7ReferenceListEntry"/>
      </w:pPr>
      <w:proofErr w:type="spellStart"/>
      <w:r>
        <w:rPr>
          <w:rFonts w:eastAsia="Arial"/>
          <w:color w:val="000000"/>
          <w:shd w:val="clear" w:color="auto" w:fill="FFFFFF"/>
          <w:lang w:val="hu-HU"/>
        </w:rPr>
        <w:t>Sajja</w:t>
      </w:r>
      <w:proofErr w:type="spellEnd"/>
      <w:r>
        <w:rPr>
          <w:rFonts w:eastAsia="Arial"/>
          <w:color w:val="000000"/>
          <w:shd w:val="clear" w:color="auto" w:fill="FFFFFF"/>
          <w:lang w:val="hu-HU"/>
        </w:rPr>
        <w:t xml:space="preserve">, R., </w:t>
      </w:r>
      <w:proofErr w:type="spellStart"/>
      <w:r>
        <w:rPr>
          <w:rFonts w:eastAsia="Arial"/>
          <w:color w:val="000000"/>
          <w:shd w:val="clear" w:color="auto" w:fill="FFFFFF"/>
          <w:lang w:val="hu-HU"/>
        </w:rPr>
        <w:t>Sermet</w:t>
      </w:r>
      <w:proofErr w:type="spellEnd"/>
      <w:r>
        <w:rPr>
          <w:rFonts w:eastAsia="Arial"/>
          <w:color w:val="000000"/>
          <w:shd w:val="clear" w:color="auto" w:fill="FFFFFF"/>
          <w:lang w:val="hu-HU"/>
        </w:rPr>
        <w:t xml:space="preserve">, Y., </w:t>
      </w:r>
      <w:proofErr w:type="spellStart"/>
      <w:r>
        <w:rPr>
          <w:rFonts w:eastAsia="Arial"/>
          <w:color w:val="000000"/>
          <w:shd w:val="clear" w:color="auto" w:fill="FFFFFF"/>
          <w:lang w:val="hu-HU"/>
        </w:rPr>
        <w:t>Cikmaz</w:t>
      </w:r>
      <w:proofErr w:type="spellEnd"/>
      <w:r>
        <w:rPr>
          <w:rFonts w:eastAsia="Arial"/>
          <w:color w:val="000000"/>
          <w:shd w:val="clear" w:color="auto" w:fill="FFFFFF"/>
          <w:lang w:val="hu-HU"/>
        </w:rPr>
        <w:t xml:space="preserve">, M., </w:t>
      </w:r>
      <w:proofErr w:type="spellStart"/>
      <w:r>
        <w:rPr>
          <w:rFonts w:eastAsia="Arial"/>
          <w:color w:val="000000"/>
          <w:shd w:val="clear" w:color="auto" w:fill="FFFFFF"/>
          <w:lang w:val="hu-HU"/>
        </w:rPr>
        <w:t>Cwiertny</w:t>
      </w:r>
      <w:proofErr w:type="spellEnd"/>
      <w:r>
        <w:rPr>
          <w:rFonts w:eastAsia="Arial"/>
          <w:color w:val="000000"/>
          <w:shd w:val="clear" w:color="auto" w:fill="FFFFFF"/>
          <w:lang w:val="hu-HU"/>
        </w:rPr>
        <w:t xml:space="preserve">, D., &amp; </w:t>
      </w:r>
      <w:proofErr w:type="spellStart"/>
      <w:r>
        <w:rPr>
          <w:rFonts w:eastAsia="Arial"/>
          <w:color w:val="000000"/>
          <w:shd w:val="clear" w:color="auto" w:fill="FFFFFF"/>
          <w:lang w:val="hu-HU"/>
        </w:rPr>
        <w:t>Demir</w:t>
      </w:r>
      <w:proofErr w:type="spellEnd"/>
      <w:r>
        <w:rPr>
          <w:rFonts w:eastAsia="Arial"/>
          <w:color w:val="000000"/>
          <w:shd w:val="clear" w:color="auto" w:fill="FFFFFF"/>
          <w:lang w:val="hu-HU"/>
        </w:rPr>
        <w:t xml:space="preserve">, I. (2023). </w:t>
      </w:r>
      <w:proofErr w:type="spellStart"/>
      <w:r>
        <w:rPr>
          <w:rStyle w:val="Emphasis"/>
          <w:rFonts w:eastAsia="Arial"/>
          <w:color w:val="000000"/>
          <w:shd w:val="clear" w:color="auto" w:fill="FFFFFF"/>
          <w:lang w:val="hu-HU"/>
        </w:rPr>
        <w:t>Artificial</w:t>
      </w:r>
      <w:proofErr w:type="spellEnd"/>
      <w:r>
        <w:rPr>
          <w:rStyle w:val="Emphasis"/>
          <w:rFonts w:eastAsia="Arial"/>
          <w:color w:val="000000"/>
          <w:shd w:val="clear" w:color="auto" w:fill="FFFFFF"/>
          <w:lang w:val="hu-HU"/>
        </w:rPr>
        <w:t xml:space="preserve"> </w:t>
      </w:r>
      <w:proofErr w:type="spellStart"/>
      <w:r>
        <w:rPr>
          <w:rStyle w:val="Emphasis"/>
          <w:rFonts w:eastAsia="Arial"/>
          <w:color w:val="000000"/>
          <w:shd w:val="clear" w:color="auto" w:fill="FFFFFF"/>
          <w:lang w:val="hu-HU"/>
        </w:rPr>
        <w:t>Intelligence-Enabled</w:t>
      </w:r>
      <w:proofErr w:type="spellEnd"/>
      <w:r>
        <w:rPr>
          <w:rStyle w:val="Emphasis"/>
          <w:rFonts w:eastAsia="Arial"/>
          <w:color w:val="000000"/>
          <w:shd w:val="clear" w:color="auto" w:fill="FFFFFF"/>
          <w:lang w:val="hu-HU"/>
        </w:rPr>
        <w:t xml:space="preserve"> </w:t>
      </w:r>
      <w:proofErr w:type="spellStart"/>
      <w:r>
        <w:rPr>
          <w:rStyle w:val="Emphasis"/>
          <w:rFonts w:eastAsia="Arial"/>
          <w:color w:val="000000"/>
          <w:shd w:val="clear" w:color="auto" w:fill="FFFFFF"/>
          <w:lang w:val="hu-HU"/>
        </w:rPr>
        <w:t>Intelligent</w:t>
      </w:r>
      <w:proofErr w:type="spellEnd"/>
      <w:r>
        <w:rPr>
          <w:rStyle w:val="Emphasis"/>
          <w:rFonts w:eastAsia="Arial"/>
          <w:color w:val="000000"/>
          <w:shd w:val="clear" w:color="auto" w:fill="FFFFFF"/>
          <w:lang w:val="hu-HU"/>
        </w:rPr>
        <w:t xml:space="preserve"> </w:t>
      </w:r>
      <w:proofErr w:type="spellStart"/>
      <w:r>
        <w:rPr>
          <w:rStyle w:val="Emphasis"/>
          <w:rFonts w:eastAsia="Arial"/>
          <w:color w:val="000000"/>
          <w:shd w:val="clear" w:color="auto" w:fill="FFFFFF"/>
          <w:lang w:val="hu-HU"/>
        </w:rPr>
        <w:t>Assistant</w:t>
      </w:r>
      <w:proofErr w:type="spellEnd"/>
      <w:r>
        <w:rPr>
          <w:rStyle w:val="Emphasis"/>
          <w:rFonts w:eastAsia="Arial"/>
          <w:color w:val="000000"/>
          <w:shd w:val="clear" w:color="auto" w:fill="FFFFFF"/>
          <w:lang w:val="hu-HU"/>
        </w:rPr>
        <w:t xml:space="preserve"> </w:t>
      </w:r>
      <w:proofErr w:type="spellStart"/>
      <w:r>
        <w:rPr>
          <w:rStyle w:val="Emphasis"/>
          <w:rFonts w:eastAsia="Arial"/>
          <w:color w:val="000000"/>
          <w:shd w:val="clear" w:color="auto" w:fill="FFFFFF"/>
          <w:lang w:val="hu-HU"/>
        </w:rPr>
        <w:t>for</w:t>
      </w:r>
      <w:proofErr w:type="spellEnd"/>
      <w:r>
        <w:rPr>
          <w:rStyle w:val="Emphasis"/>
          <w:rFonts w:eastAsia="Arial"/>
          <w:color w:val="000000"/>
          <w:shd w:val="clear" w:color="auto" w:fill="FFFFFF"/>
          <w:lang w:val="hu-HU"/>
        </w:rPr>
        <w:t xml:space="preserve"> </w:t>
      </w:r>
      <w:proofErr w:type="spellStart"/>
      <w:r>
        <w:rPr>
          <w:rStyle w:val="Emphasis"/>
          <w:rFonts w:eastAsia="Arial"/>
          <w:color w:val="000000"/>
          <w:shd w:val="clear" w:color="auto" w:fill="FFFFFF"/>
          <w:lang w:val="hu-HU"/>
        </w:rPr>
        <w:t>Personalized</w:t>
      </w:r>
      <w:proofErr w:type="spellEnd"/>
      <w:r>
        <w:rPr>
          <w:rStyle w:val="Emphasis"/>
          <w:rFonts w:eastAsia="Arial"/>
          <w:color w:val="000000"/>
          <w:shd w:val="clear" w:color="auto" w:fill="FFFFFF"/>
          <w:lang w:val="hu-HU"/>
        </w:rPr>
        <w:t xml:space="preserve"> and </w:t>
      </w:r>
      <w:proofErr w:type="spellStart"/>
      <w:r>
        <w:rPr>
          <w:rStyle w:val="Emphasis"/>
          <w:rFonts w:eastAsia="Arial"/>
          <w:color w:val="000000"/>
          <w:shd w:val="clear" w:color="auto" w:fill="FFFFFF"/>
          <w:lang w:val="hu-HU"/>
        </w:rPr>
        <w:t>Adaptive</w:t>
      </w:r>
      <w:proofErr w:type="spellEnd"/>
      <w:r>
        <w:rPr>
          <w:rStyle w:val="Emphasis"/>
          <w:rFonts w:eastAsia="Arial"/>
          <w:color w:val="000000"/>
          <w:shd w:val="clear" w:color="auto" w:fill="FFFFFF"/>
          <w:lang w:val="hu-HU"/>
        </w:rPr>
        <w:t xml:space="preserve"> </w:t>
      </w:r>
      <w:proofErr w:type="spellStart"/>
      <w:r>
        <w:rPr>
          <w:rStyle w:val="Emphasis"/>
          <w:rFonts w:eastAsia="Arial"/>
          <w:color w:val="000000"/>
          <w:shd w:val="clear" w:color="auto" w:fill="FFFFFF"/>
          <w:lang w:val="hu-HU"/>
        </w:rPr>
        <w:t>Learning</w:t>
      </w:r>
      <w:proofErr w:type="spellEnd"/>
      <w:r>
        <w:rPr>
          <w:rStyle w:val="Emphasis"/>
          <w:rFonts w:eastAsia="Arial"/>
          <w:color w:val="000000"/>
          <w:shd w:val="clear" w:color="auto" w:fill="FFFFFF"/>
          <w:lang w:val="hu-HU"/>
        </w:rPr>
        <w:t xml:space="preserve"> in </w:t>
      </w:r>
      <w:proofErr w:type="spellStart"/>
      <w:r>
        <w:rPr>
          <w:rStyle w:val="Emphasis"/>
          <w:rFonts w:eastAsia="Arial"/>
          <w:color w:val="000000"/>
          <w:shd w:val="clear" w:color="auto" w:fill="FFFFFF"/>
          <w:lang w:val="hu-HU"/>
        </w:rPr>
        <w:t>Higher</w:t>
      </w:r>
      <w:proofErr w:type="spellEnd"/>
      <w:r>
        <w:rPr>
          <w:rStyle w:val="Emphasis"/>
          <w:rFonts w:eastAsia="Arial"/>
          <w:color w:val="000000"/>
          <w:shd w:val="clear" w:color="auto" w:fill="FFFFFF"/>
          <w:lang w:val="hu-HU"/>
        </w:rPr>
        <w:t xml:space="preserve"> Education</w:t>
      </w:r>
      <w:r>
        <w:rPr>
          <w:rFonts w:eastAsia="Arial"/>
          <w:color w:val="000000"/>
          <w:shd w:val="clear" w:color="auto" w:fill="FFFFFF"/>
          <w:lang w:val="hu-HU"/>
        </w:rPr>
        <w:t xml:space="preserve"> [</w:t>
      </w:r>
      <w:proofErr w:type="spellStart"/>
      <w:r>
        <w:rPr>
          <w:rFonts w:eastAsia="Arial"/>
          <w:color w:val="000000"/>
          <w:shd w:val="clear" w:color="auto" w:fill="FFFFFF"/>
          <w:lang w:val="hu-HU"/>
        </w:rPr>
        <w:t>Preprint</w:t>
      </w:r>
      <w:proofErr w:type="spellEnd"/>
      <w:r>
        <w:rPr>
          <w:rFonts w:eastAsia="Arial"/>
          <w:color w:val="000000"/>
          <w:shd w:val="clear" w:color="auto" w:fill="FFFFFF"/>
          <w:lang w:val="hu-HU"/>
        </w:rPr>
        <w:t xml:space="preserve">]. </w:t>
      </w:r>
      <w:proofErr w:type="spellStart"/>
      <w:r>
        <w:rPr>
          <w:rFonts w:eastAsia="Arial"/>
          <w:color w:val="000000"/>
          <w:shd w:val="clear" w:color="auto" w:fill="FFFFFF"/>
          <w:lang w:val="hu-HU"/>
        </w:rPr>
        <w:t>arXiv</w:t>
      </w:r>
      <w:proofErr w:type="spellEnd"/>
      <w:r>
        <w:rPr>
          <w:rFonts w:eastAsia="Arial"/>
          <w:color w:val="000000"/>
          <w:shd w:val="clear" w:color="auto" w:fill="FFFFFF"/>
          <w:lang w:val="hu-HU"/>
        </w:rPr>
        <w:t xml:space="preserve">. </w:t>
      </w:r>
      <w:hyperlink r:id="rId49">
        <w:r w:rsidR="00E73B4A">
          <w:rPr>
            <w:rStyle w:val="Hyperlink"/>
            <w:rFonts w:eastAsia="Arial"/>
            <w:color w:val="000000"/>
            <w:shd w:val="clear" w:color="auto" w:fill="FFFFFF"/>
            <w:lang w:val="hu-HU"/>
          </w:rPr>
          <w:t>https://doi.org/10.48550/arXiv.2309.10892</w:t>
        </w:r>
      </w:hyperlink>
    </w:p>
    <w:p w14:paraId="340510B0" w14:textId="77777777" w:rsidR="00E73B4A" w:rsidRDefault="00000000">
      <w:pPr>
        <w:pStyle w:val="APA7ReferenceListEntry"/>
      </w:pPr>
      <w:proofErr w:type="spellStart"/>
      <w:r>
        <w:rPr>
          <w:rStyle w:val="Hyperlink"/>
          <w:rFonts w:eastAsia="Arial"/>
          <w:color w:val="000000"/>
          <w:u w:val="none"/>
          <w:lang w:val="hu-HU"/>
        </w:rPr>
        <w:t>Samartoiy</w:t>
      </w:r>
      <w:proofErr w:type="spellEnd"/>
      <w:r>
        <w:rPr>
          <w:rStyle w:val="Hyperlink"/>
          <w:rFonts w:eastAsia="Arial"/>
          <w:color w:val="000000"/>
          <w:u w:val="none"/>
          <w:lang w:val="hu-HU"/>
        </w:rPr>
        <w:t xml:space="preserve">, F. K., &amp; </w:t>
      </w:r>
      <w:proofErr w:type="spellStart"/>
      <w:r>
        <w:rPr>
          <w:rStyle w:val="Hyperlink"/>
          <w:rFonts w:eastAsia="Arial"/>
          <w:color w:val="000000"/>
          <w:u w:val="none"/>
          <w:lang w:val="hu-HU"/>
        </w:rPr>
        <w:t>Davar</w:t>
      </w:r>
      <w:proofErr w:type="spellEnd"/>
      <w:r>
        <w:rPr>
          <w:rStyle w:val="Hyperlink"/>
          <w:rFonts w:eastAsia="Arial"/>
          <w:color w:val="000000"/>
          <w:u w:val="none"/>
          <w:lang w:val="hu-HU"/>
        </w:rPr>
        <w:t xml:space="preserve">, M. M. (2023). A </w:t>
      </w:r>
      <w:proofErr w:type="spellStart"/>
      <w:r>
        <w:rPr>
          <w:rStyle w:val="Hyperlink"/>
          <w:rFonts w:eastAsia="Arial"/>
          <w:color w:val="000000"/>
          <w:u w:val="none"/>
          <w:lang w:val="hu-HU"/>
        </w:rPr>
        <w:t>Reflection</w:t>
      </w:r>
      <w:proofErr w:type="spellEnd"/>
      <w:r>
        <w:rPr>
          <w:rStyle w:val="Hyperlink"/>
          <w:rFonts w:eastAsia="Arial"/>
          <w:color w:val="000000"/>
          <w:u w:val="none"/>
          <w:lang w:val="hu-HU"/>
        </w:rPr>
        <w:t xml:space="preserve"> </w:t>
      </w:r>
      <w:proofErr w:type="spellStart"/>
      <w:r>
        <w:rPr>
          <w:rStyle w:val="Hyperlink"/>
          <w:rFonts w:eastAsia="Arial"/>
          <w:color w:val="000000"/>
          <w:u w:val="none"/>
          <w:lang w:val="hu-HU"/>
        </w:rPr>
        <w:t>on</w:t>
      </w:r>
      <w:proofErr w:type="spellEnd"/>
      <w:r>
        <w:rPr>
          <w:rStyle w:val="Hyperlink"/>
          <w:rFonts w:eastAsia="Arial"/>
          <w:color w:val="000000"/>
          <w:u w:val="none"/>
          <w:lang w:val="hu-HU"/>
        </w:rPr>
        <w:t xml:space="preserve"> </w:t>
      </w:r>
      <w:proofErr w:type="spellStart"/>
      <w:r>
        <w:rPr>
          <w:rStyle w:val="Hyperlink"/>
          <w:rFonts w:eastAsia="Arial"/>
          <w:color w:val="000000"/>
          <w:u w:val="none"/>
          <w:lang w:val="hu-HU"/>
        </w:rPr>
        <w:t>the</w:t>
      </w:r>
      <w:proofErr w:type="spellEnd"/>
      <w:r>
        <w:rPr>
          <w:rStyle w:val="Hyperlink"/>
          <w:rFonts w:eastAsia="Arial"/>
          <w:color w:val="000000"/>
          <w:u w:val="none"/>
          <w:lang w:val="hu-HU"/>
        </w:rPr>
        <w:t xml:space="preserve"> </w:t>
      </w:r>
      <w:proofErr w:type="spellStart"/>
      <w:r>
        <w:rPr>
          <w:rStyle w:val="Hyperlink"/>
          <w:rFonts w:eastAsia="Arial"/>
          <w:color w:val="000000"/>
          <w:u w:val="none"/>
          <w:lang w:val="hu-HU"/>
        </w:rPr>
        <w:t>Impact</w:t>
      </w:r>
      <w:proofErr w:type="spellEnd"/>
      <w:r>
        <w:rPr>
          <w:rStyle w:val="Hyperlink"/>
          <w:rFonts w:eastAsia="Arial"/>
          <w:color w:val="000000"/>
          <w:u w:val="none"/>
          <w:lang w:val="hu-HU"/>
        </w:rPr>
        <w:t xml:space="preserve"> and </w:t>
      </w:r>
      <w:proofErr w:type="spellStart"/>
      <w:r>
        <w:rPr>
          <w:rStyle w:val="Hyperlink"/>
          <w:rFonts w:eastAsia="Arial"/>
          <w:color w:val="000000"/>
          <w:u w:val="none"/>
          <w:lang w:val="hu-HU"/>
        </w:rPr>
        <w:t>Connection</w:t>
      </w:r>
      <w:proofErr w:type="spellEnd"/>
      <w:r>
        <w:rPr>
          <w:rStyle w:val="Hyperlink"/>
          <w:rFonts w:eastAsia="Arial"/>
          <w:color w:val="000000"/>
          <w:u w:val="none"/>
          <w:lang w:val="hu-HU"/>
        </w:rPr>
        <w:t xml:space="preserve"> of AI </w:t>
      </w:r>
      <w:proofErr w:type="spellStart"/>
      <w:r>
        <w:rPr>
          <w:rStyle w:val="Hyperlink"/>
          <w:rFonts w:eastAsia="Arial"/>
          <w:color w:val="000000"/>
          <w:u w:val="none"/>
          <w:lang w:val="hu-HU"/>
        </w:rPr>
        <w:t>with</w:t>
      </w:r>
      <w:proofErr w:type="spellEnd"/>
      <w:r>
        <w:rPr>
          <w:rStyle w:val="Hyperlink"/>
          <w:rFonts w:eastAsia="Arial"/>
          <w:color w:val="000000"/>
          <w:u w:val="none"/>
          <w:lang w:val="hu-HU"/>
        </w:rPr>
        <w:t xml:space="preserve"> </w:t>
      </w:r>
      <w:proofErr w:type="spellStart"/>
      <w:r>
        <w:rPr>
          <w:rStyle w:val="Hyperlink"/>
          <w:rFonts w:eastAsia="Arial"/>
          <w:color w:val="000000"/>
          <w:u w:val="none"/>
          <w:lang w:val="hu-HU"/>
        </w:rPr>
        <w:t>Humanities</w:t>
      </w:r>
      <w:proofErr w:type="spellEnd"/>
      <w:r>
        <w:rPr>
          <w:rStyle w:val="Hyperlink"/>
          <w:rFonts w:eastAsia="Arial"/>
          <w:color w:val="000000"/>
          <w:u w:val="none"/>
          <w:lang w:val="hu-HU"/>
        </w:rPr>
        <w:t xml:space="preserve">. </w:t>
      </w:r>
      <w:r>
        <w:rPr>
          <w:rStyle w:val="Emphasis"/>
          <w:rFonts w:eastAsia="Arial"/>
          <w:color w:val="000000"/>
          <w:lang w:val="hu-HU"/>
        </w:rPr>
        <w:t xml:space="preserve">International Journal of </w:t>
      </w:r>
      <w:proofErr w:type="spellStart"/>
      <w:r>
        <w:rPr>
          <w:rStyle w:val="Emphasis"/>
          <w:rFonts w:eastAsia="Arial"/>
          <w:color w:val="000000"/>
          <w:lang w:val="hu-HU"/>
        </w:rPr>
        <w:t>Multicultural</w:t>
      </w:r>
      <w:proofErr w:type="spellEnd"/>
      <w:r>
        <w:rPr>
          <w:rStyle w:val="Emphasis"/>
          <w:rFonts w:eastAsia="Arial"/>
          <w:color w:val="000000"/>
          <w:lang w:val="hu-HU"/>
        </w:rPr>
        <w:t xml:space="preserve"> and </w:t>
      </w:r>
      <w:proofErr w:type="spellStart"/>
      <w:r>
        <w:rPr>
          <w:rStyle w:val="Emphasis"/>
          <w:rFonts w:eastAsia="Arial"/>
          <w:color w:val="000000"/>
          <w:lang w:val="hu-HU"/>
        </w:rPr>
        <w:t>Multireligious</w:t>
      </w:r>
      <w:proofErr w:type="spellEnd"/>
      <w:r>
        <w:rPr>
          <w:rStyle w:val="Emphasis"/>
          <w:rFonts w:eastAsia="Arial"/>
          <w:color w:val="000000"/>
          <w:lang w:val="hu-HU"/>
        </w:rPr>
        <w:t xml:space="preserve"> </w:t>
      </w:r>
      <w:proofErr w:type="spellStart"/>
      <w:r>
        <w:rPr>
          <w:rStyle w:val="Emphasis"/>
          <w:rFonts w:eastAsia="Arial"/>
          <w:color w:val="000000"/>
          <w:lang w:val="hu-HU"/>
        </w:rPr>
        <w:t>Understanding</w:t>
      </w:r>
      <w:proofErr w:type="spellEnd"/>
      <w:r>
        <w:rPr>
          <w:rStyle w:val="Hyperlink"/>
          <w:rFonts w:eastAsia="Arial"/>
          <w:color w:val="000000"/>
          <w:lang w:val="hu-HU"/>
        </w:rPr>
        <w:t xml:space="preserve">, </w:t>
      </w:r>
      <w:r>
        <w:rPr>
          <w:rStyle w:val="Emphasis"/>
          <w:rFonts w:eastAsia="Arial"/>
          <w:color w:val="000000"/>
          <w:lang w:val="hu-HU"/>
        </w:rPr>
        <w:t>10</w:t>
      </w:r>
      <w:r>
        <w:rPr>
          <w:rStyle w:val="Hyperlink"/>
          <w:rFonts w:eastAsia="Arial"/>
          <w:color w:val="000000"/>
          <w:lang w:val="hu-HU"/>
        </w:rPr>
        <w:t xml:space="preserve">(9), 312-315. </w:t>
      </w:r>
      <w:hyperlink r:id="rId50">
        <w:r w:rsidR="00E73B4A">
          <w:rPr>
            <w:rStyle w:val="Hyperlink"/>
            <w:rFonts w:eastAsia="Arial"/>
            <w:lang w:val="hu-HU"/>
          </w:rPr>
          <w:t>https://doi.org/10.18415/ijmmu.v10i9.5059</w:t>
        </w:r>
      </w:hyperlink>
    </w:p>
    <w:p w14:paraId="415E00B6" w14:textId="77777777" w:rsidR="00E73B4A" w:rsidRDefault="00000000">
      <w:pPr>
        <w:pStyle w:val="APA7ReferenceListEntry"/>
      </w:pPr>
      <w:proofErr w:type="spellStart"/>
      <w:r>
        <w:rPr>
          <w:rFonts w:eastAsia="Arial"/>
          <w:color w:val="000000"/>
          <w:shd w:val="clear" w:color="auto" w:fill="FFFFFF"/>
          <w:lang w:eastAsia="zh-CN" w:bidi="hi-IN"/>
        </w:rPr>
        <w:t>Snepvangers</w:t>
      </w:r>
      <w:proofErr w:type="spellEnd"/>
      <w:r>
        <w:rPr>
          <w:rFonts w:eastAsia="Arial"/>
          <w:color w:val="000000"/>
          <w:shd w:val="clear" w:color="auto" w:fill="FFFFFF"/>
          <w:lang w:eastAsia="zh-CN" w:bidi="hi-IN"/>
        </w:rPr>
        <w:t xml:space="preserve">, P. (2023). There were more than 1 million visits to ChatGPT website at universities in last exam season. </w:t>
      </w:r>
      <w:r>
        <w:rPr>
          <w:rFonts w:eastAsia="Arial"/>
          <w:i/>
          <w:color w:val="000000"/>
          <w:shd w:val="clear" w:color="auto" w:fill="FFFFFF"/>
          <w:lang w:eastAsia="zh-CN" w:bidi="hi-IN"/>
        </w:rPr>
        <w:t>The Tab</w:t>
      </w:r>
      <w:r>
        <w:rPr>
          <w:rFonts w:eastAsia="Arial"/>
          <w:color w:val="000000"/>
          <w:shd w:val="clear" w:color="auto" w:fill="FFFFFF"/>
          <w:lang w:eastAsia="zh-CN" w:bidi="hi-IN"/>
        </w:rPr>
        <w:t xml:space="preserve">. </w:t>
      </w:r>
      <w:hyperlink r:id="rId51">
        <w:r w:rsidR="00E73B4A">
          <w:rPr>
            <w:rFonts w:eastAsia="Arial"/>
            <w:color w:val="000000"/>
            <w:u w:val="single"/>
            <w:shd w:val="clear" w:color="auto" w:fill="FFFFFF"/>
            <w:lang w:eastAsia="zh-CN" w:bidi="hi-IN"/>
          </w:rPr>
          <w:t>https://thetab.com/uk/2023/03/21/there-were-more-than-1-million-visits-to-chatgpt-website-at-universities-in-last-exam-season-299853</w:t>
        </w:r>
      </w:hyperlink>
      <w:r>
        <w:rPr>
          <w:rFonts w:eastAsia="Arial"/>
          <w:lang w:eastAsia="zh-CN" w:bidi="hi-IN"/>
        </w:rPr>
        <w:t xml:space="preserve"> </w:t>
      </w:r>
    </w:p>
    <w:p w14:paraId="4E4E189D" w14:textId="77777777" w:rsidR="00E73B4A" w:rsidRDefault="00000000">
      <w:pPr>
        <w:pStyle w:val="APA7ReferenceListEntry"/>
      </w:pPr>
      <w:r>
        <w:rPr>
          <w:rStyle w:val="Strong"/>
          <w:rFonts w:eastAsia="Arial"/>
          <w:b w:val="0"/>
          <w:bCs w:val="0"/>
          <w:lang w:val="hu-HU"/>
        </w:rPr>
        <w:t>Silva-</w:t>
      </w:r>
      <w:proofErr w:type="spellStart"/>
      <w:r>
        <w:rPr>
          <w:rStyle w:val="Strong"/>
          <w:rFonts w:eastAsia="Arial"/>
          <w:b w:val="0"/>
          <w:bCs w:val="0"/>
          <w:lang w:val="hu-HU"/>
        </w:rPr>
        <w:t>Cornejo</w:t>
      </w:r>
      <w:proofErr w:type="spellEnd"/>
      <w:r>
        <w:rPr>
          <w:rStyle w:val="Strong"/>
          <w:rFonts w:eastAsia="Arial"/>
          <w:b w:val="0"/>
          <w:bCs w:val="0"/>
          <w:lang w:val="hu-HU"/>
        </w:rPr>
        <w:t xml:space="preserve">, A. A., </w:t>
      </w:r>
      <w:proofErr w:type="spellStart"/>
      <w:r>
        <w:rPr>
          <w:rStyle w:val="Strong"/>
          <w:rFonts w:eastAsia="Arial"/>
          <w:b w:val="0"/>
          <w:bCs w:val="0"/>
          <w:lang w:val="hu-HU"/>
        </w:rPr>
        <w:t>Vargas-Requena</w:t>
      </w:r>
      <w:proofErr w:type="spellEnd"/>
      <w:r>
        <w:rPr>
          <w:rStyle w:val="Strong"/>
          <w:rFonts w:eastAsia="Arial"/>
          <w:b w:val="0"/>
          <w:bCs w:val="0"/>
          <w:lang w:val="hu-HU"/>
        </w:rPr>
        <w:t xml:space="preserve">, D. T., </w:t>
      </w:r>
      <w:proofErr w:type="spellStart"/>
      <w:r>
        <w:rPr>
          <w:rStyle w:val="Strong"/>
          <w:rFonts w:eastAsia="Arial"/>
          <w:b w:val="0"/>
          <w:bCs w:val="0"/>
          <w:lang w:val="hu-HU"/>
        </w:rPr>
        <w:t>Huerta-Mendoza</w:t>
      </w:r>
      <w:proofErr w:type="spellEnd"/>
      <w:r>
        <w:rPr>
          <w:rStyle w:val="Strong"/>
          <w:rFonts w:eastAsia="Arial"/>
          <w:b w:val="0"/>
          <w:bCs w:val="0"/>
          <w:lang w:val="hu-HU"/>
        </w:rPr>
        <w:t>, J. C., Martínez-</w:t>
      </w:r>
      <w:proofErr w:type="spellStart"/>
      <w:r>
        <w:rPr>
          <w:rStyle w:val="Strong"/>
          <w:rFonts w:eastAsia="Arial"/>
          <w:b w:val="0"/>
          <w:bCs w:val="0"/>
          <w:lang w:val="hu-HU"/>
        </w:rPr>
        <w:t>Rodriguez</w:t>
      </w:r>
      <w:proofErr w:type="spellEnd"/>
      <w:r>
        <w:rPr>
          <w:rStyle w:val="Strong"/>
          <w:rFonts w:eastAsia="Arial"/>
          <w:b w:val="0"/>
          <w:bCs w:val="0"/>
          <w:lang w:val="hu-HU"/>
        </w:rPr>
        <w:t xml:space="preserve">, J. L., &amp; </w:t>
      </w:r>
      <w:proofErr w:type="spellStart"/>
      <w:r>
        <w:rPr>
          <w:rStyle w:val="Strong"/>
          <w:rFonts w:eastAsia="Arial"/>
          <w:b w:val="0"/>
          <w:bCs w:val="0"/>
          <w:lang w:val="hu-HU"/>
        </w:rPr>
        <w:t>Rodriguez-Rodriguez</w:t>
      </w:r>
      <w:proofErr w:type="spellEnd"/>
      <w:r>
        <w:rPr>
          <w:rStyle w:val="Strong"/>
          <w:rFonts w:eastAsia="Arial"/>
          <w:b w:val="0"/>
          <w:bCs w:val="0"/>
          <w:lang w:val="hu-HU"/>
        </w:rPr>
        <w:t>, W. E.</w:t>
      </w:r>
      <w:r>
        <w:rPr>
          <w:rFonts w:eastAsia="Arial"/>
          <w:lang w:val="hu-HU"/>
        </w:rPr>
        <w:t xml:space="preserve"> (2024). </w:t>
      </w:r>
      <w:proofErr w:type="spellStart"/>
      <w:r>
        <w:rPr>
          <w:rFonts w:eastAsia="Arial"/>
          <w:lang w:val="hu-HU"/>
        </w:rPr>
        <w:t>Intelligent</w:t>
      </w:r>
      <w:proofErr w:type="spellEnd"/>
      <w:r>
        <w:rPr>
          <w:rFonts w:eastAsia="Arial"/>
          <w:lang w:val="hu-HU"/>
        </w:rPr>
        <w:t xml:space="preserve"> </w:t>
      </w:r>
      <w:proofErr w:type="spellStart"/>
      <w:r>
        <w:rPr>
          <w:rFonts w:eastAsia="Arial"/>
          <w:lang w:val="hu-HU"/>
        </w:rPr>
        <w:t>tutoring</w:t>
      </w:r>
      <w:proofErr w:type="spellEnd"/>
      <w:r>
        <w:rPr>
          <w:rFonts w:eastAsia="Arial"/>
          <w:lang w:val="hu-HU"/>
        </w:rPr>
        <w:t xml:space="preserve"> </w:t>
      </w:r>
      <w:proofErr w:type="spellStart"/>
      <w:r>
        <w:rPr>
          <w:rFonts w:eastAsia="Arial"/>
          <w:lang w:val="hu-HU"/>
        </w:rPr>
        <w:t>system</w:t>
      </w:r>
      <w:proofErr w:type="spellEnd"/>
      <w:r>
        <w:rPr>
          <w:rFonts w:eastAsia="Arial"/>
          <w:lang w:val="hu-HU"/>
        </w:rPr>
        <w:t xml:space="preserve"> </w:t>
      </w:r>
      <w:proofErr w:type="spellStart"/>
      <w:r>
        <w:rPr>
          <w:rFonts w:eastAsia="Arial"/>
          <w:lang w:val="hu-HU"/>
        </w:rPr>
        <w:t>for</w:t>
      </w:r>
      <w:proofErr w:type="spellEnd"/>
      <w:r>
        <w:rPr>
          <w:rFonts w:eastAsia="Arial"/>
          <w:lang w:val="hu-HU"/>
        </w:rPr>
        <w:t xml:space="preserve"> </w:t>
      </w:r>
      <w:proofErr w:type="spellStart"/>
      <w:r>
        <w:rPr>
          <w:rFonts w:eastAsia="Arial"/>
          <w:lang w:val="hu-HU"/>
        </w:rPr>
        <w:t>identification</w:t>
      </w:r>
      <w:proofErr w:type="spellEnd"/>
      <w:r>
        <w:rPr>
          <w:rFonts w:eastAsia="Arial"/>
          <w:lang w:val="hu-HU"/>
        </w:rPr>
        <w:t xml:space="preserve"> of </w:t>
      </w:r>
      <w:proofErr w:type="spellStart"/>
      <w:r>
        <w:rPr>
          <w:rFonts w:eastAsia="Arial"/>
          <w:lang w:val="hu-HU"/>
        </w:rPr>
        <w:t>learning</w:t>
      </w:r>
      <w:proofErr w:type="spellEnd"/>
      <w:r>
        <w:rPr>
          <w:rFonts w:eastAsia="Arial"/>
          <w:lang w:val="hu-HU"/>
        </w:rPr>
        <w:t xml:space="preserve"> </w:t>
      </w:r>
      <w:proofErr w:type="spellStart"/>
      <w:r>
        <w:rPr>
          <w:rFonts w:eastAsia="Arial"/>
          <w:lang w:val="hu-HU"/>
        </w:rPr>
        <w:t>styles</w:t>
      </w:r>
      <w:proofErr w:type="spellEnd"/>
      <w:r>
        <w:rPr>
          <w:rFonts w:eastAsia="Arial"/>
          <w:lang w:val="hu-HU"/>
        </w:rPr>
        <w:t xml:space="preserve"> and </w:t>
      </w:r>
      <w:proofErr w:type="spellStart"/>
      <w:r>
        <w:rPr>
          <w:rFonts w:eastAsia="Arial"/>
          <w:lang w:val="hu-HU"/>
        </w:rPr>
        <w:t>assignment</w:t>
      </w:r>
      <w:proofErr w:type="spellEnd"/>
      <w:r>
        <w:rPr>
          <w:rFonts w:eastAsia="Arial"/>
          <w:lang w:val="hu-HU"/>
        </w:rPr>
        <w:t xml:space="preserve"> </w:t>
      </w:r>
      <w:proofErr w:type="spellStart"/>
      <w:r>
        <w:rPr>
          <w:rFonts w:eastAsia="Arial"/>
          <w:lang w:val="hu-HU"/>
        </w:rPr>
        <w:t>educational</w:t>
      </w:r>
      <w:proofErr w:type="spellEnd"/>
      <w:r>
        <w:rPr>
          <w:rFonts w:eastAsia="Arial"/>
          <w:lang w:val="hu-HU"/>
        </w:rPr>
        <w:t xml:space="preserve"> </w:t>
      </w:r>
      <w:proofErr w:type="spellStart"/>
      <w:r>
        <w:rPr>
          <w:rFonts w:eastAsia="Arial"/>
          <w:lang w:val="hu-HU"/>
        </w:rPr>
        <w:t>strategies</w:t>
      </w:r>
      <w:proofErr w:type="spellEnd"/>
      <w:r>
        <w:rPr>
          <w:rFonts w:eastAsia="Arial"/>
          <w:lang w:val="hu-HU"/>
        </w:rPr>
        <w:t xml:space="preserve">. </w:t>
      </w:r>
      <w:r>
        <w:rPr>
          <w:rStyle w:val="Emphasis"/>
          <w:rFonts w:eastAsia="Arial"/>
          <w:lang w:val="hu-HU"/>
        </w:rPr>
        <w:t xml:space="preserve">International Journal of </w:t>
      </w:r>
      <w:proofErr w:type="spellStart"/>
      <w:r>
        <w:rPr>
          <w:rStyle w:val="Emphasis"/>
          <w:rFonts w:eastAsia="Arial"/>
          <w:lang w:val="hu-HU"/>
        </w:rPr>
        <w:t>Combinatorial</w:t>
      </w:r>
      <w:proofErr w:type="spellEnd"/>
      <w:r>
        <w:rPr>
          <w:rStyle w:val="Emphasis"/>
          <w:rFonts w:eastAsia="Arial"/>
          <w:lang w:val="hu-HU"/>
        </w:rPr>
        <w:t xml:space="preserve"> </w:t>
      </w:r>
      <w:proofErr w:type="spellStart"/>
      <w:r>
        <w:rPr>
          <w:rStyle w:val="Emphasis"/>
          <w:rFonts w:eastAsia="Arial"/>
          <w:lang w:val="hu-HU"/>
        </w:rPr>
        <w:t>Optimization</w:t>
      </w:r>
      <w:proofErr w:type="spellEnd"/>
      <w:r>
        <w:rPr>
          <w:rStyle w:val="Emphasis"/>
          <w:rFonts w:eastAsia="Arial"/>
          <w:lang w:val="hu-HU"/>
        </w:rPr>
        <w:t xml:space="preserve"> </w:t>
      </w:r>
      <w:proofErr w:type="spellStart"/>
      <w:r>
        <w:rPr>
          <w:rStyle w:val="Emphasis"/>
          <w:rFonts w:eastAsia="Arial"/>
          <w:lang w:val="hu-HU"/>
        </w:rPr>
        <w:t>Problems</w:t>
      </w:r>
      <w:proofErr w:type="spellEnd"/>
      <w:r>
        <w:rPr>
          <w:rStyle w:val="Emphasis"/>
          <w:rFonts w:eastAsia="Arial"/>
          <w:lang w:val="hu-HU"/>
        </w:rPr>
        <w:t xml:space="preserve"> and </w:t>
      </w:r>
      <w:proofErr w:type="spellStart"/>
      <w:r>
        <w:rPr>
          <w:rStyle w:val="Emphasis"/>
          <w:rFonts w:eastAsia="Arial"/>
          <w:lang w:val="hu-HU"/>
        </w:rPr>
        <w:t>Informatics</w:t>
      </w:r>
      <w:proofErr w:type="spellEnd"/>
      <w:r>
        <w:rPr>
          <w:rStyle w:val="Emphasis"/>
          <w:rFonts w:eastAsia="Arial"/>
          <w:lang w:val="hu-HU"/>
        </w:rPr>
        <w:t>, 15</w:t>
      </w:r>
      <w:r>
        <w:rPr>
          <w:rFonts w:eastAsia="Arial"/>
          <w:lang w:val="hu-HU"/>
        </w:rPr>
        <w:t xml:space="preserve">(1), 62-75. </w:t>
      </w:r>
      <w:hyperlink r:id="rId52" w:tgtFrame="_blank">
        <w:r w:rsidR="00E73B4A">
          <w:rPr>
            <w:rStyle w:val="Hyperlink"/>
            <w:rFonts w:eastAsia="Arial"/>
            <w:lang w:val="hu-HU"/>
          </w:rPr>
          <w:t>https://doi.org/10.61467/2007.1558.2024.v15i1.422</w:t>
        </w:r>
      </w:hyperlink>
    </w:p>
    <w:p w14:paraId="2513185A" w14:textId="77777777" w:rsidR="00E73B4A" w:rsidRDefault="00000000">
      <w:pPr>
        <w:pStyle w:val="APA7ReferenceListEntry"/>
      </w:pPr>
      <w:r>
        <w:rPr>
          <w:rFonts w:eastAsia="Arial"/>
          <w:color w:val="222222"/>
          <w:shd w:val="clear" w:color="auto" w:fill="FFFFFF"/>
          <w:lang w:eastAsia="zh-CN" w:bidi="hi-IN"/>
        </w:rPr>
        <w:t>Stöhr, C.,</w:t>
      </w:r>
      <w:r>
        <w:rPr>
          <w:rFonts w:eastAsia="Arial"/>
          <w:color w:val="222222"/>
          <w:shd w:val="clear" w:color="auto" w:fill="FFFFFF"/>
        </w:rPr>
        <w:t xml:space="preserve"> </w:t>
      </w:r>
      <w:r>
        <w:rPr>
          <w:rFonts w:eastAsia="Arial"/>
          <w:color w:val="222222"/>
          <w:shd w:val="clear" w:color="auto" w:fill="FFFFFF"/>
          <w:lang w:eastAsia="zh-CN" w:bidi="hi-IN"/>
        </w:rPr>
        <w:t xml:space="preserve">Ou, A.W., </w:t>
      </w:r>
      <w:proofErr w:type="gramStart"/>
      <w:r>
        <w:rPr>
          <w:rFonts w:eastAsia="Arial"/>
          <w:color w:val="222222"/>
          <w:shd w:val="clear" w:color="auto" w:fill="FFFFFF"/>
        </w:rPr>
        <w:t xml:space="preserve">&amp;  </w:t>
      </w:r>
      <w:r>
        <w:rPr>
          <w:rFonts w:eastAsia="Arial"/>
          <w:color w:val="222222"/>
          <w:shd w:val="clear" w:color="auto" w:fill="FFFFFF"/>
          <w:lang w:eastAsia="zh-CN" w:bidi="hi-IN"/>
        </w:rPr>
        <w:t>Malmström</w:t>
      </w:r>
      <w:proofErr w:type="gramEnd"/>
      <w:r>
        <w:rPr>
          <w:rFonts w:eastAsia="Arial"/>
          <w:color w:val="222222"/>
          <w:shd w:val="clear" w:color="auto" w:fill="FFFFFF"/>
          <w:lang w:eastAsia="zh-CN" w:bidi="hi-IN"/>
        </w:rPr>
        <w:t xml:space="preserve">, H. (2024). Perceptions and usage of AI chatbots among students in higher education across genders, academic levels and fields of study. </w:t>
      </w:r>
      <w:r>
        <w:rPr>
          <w:rStyle w:val="Emphasis"/>
          <w:rFonts w:eastAsia="Arial"/>
          <w:color w:val="222222"/>
          <w:shd w:val="clear" w:color="auto" w:fill="FFFFFF"/>
        </w:rPr>
        <w:t>Computers and Education: Artificial Intelligence, 7</w:t>
      </w:r>
      <w:r>
        <w:rPr>
          <w:rFonts w:eastAsia="Arial"/>
          <w:color w:val="222222"/>
          <w:shd w:val="clear" w:color="auto" w:fill="FFFFFF"/>
        </w:rPr>
        <w:t xml:space="preserve">, Article 100259. </w:t>
      </w:r>
      <w:hyperlink r:id="rId53">
        <w:r w:rsidR="00E73B4A">
          <w:rPr>
            <w:rStyle w:val="Hyperlink"/>
            <w:rFonts w:eastAsia="Arial"/>
            <w:color w:val="222222"/>
          </w:rPr>
          <w:t>https://doi.org/10.1016/j.caeai.2024.100259</w:t>
        </w:r>
      </w:hyperlink>
      <w:r>
        <w:rPr>
          <w:rFonts w:eastAsia="Arial"/>
          <w:color w:val="222222"/>
        </w:rPr>
        <w:t xml:space="preserve">  </w:t>
      </w:r>
    </w:p>
    <w:p w14:paraId="6899FBF3" w14:textId="77777777" w:rsidR="00E73B4A" w:rsidRDefault="00000000">
      <w:pPr>
        <w:pStyle w:val="APA7ReferenceListEntry"/>
      </w:pPr>
      <w:r>
        <w:rPr>
          <w:rFonts w:eastAsia="Arial"/>
          <w:color w:val="222222"/>
          <w:shd w:val="clear" w:color="auto" w:fill="FFFFFF"/>
        </w:rPr>
        <w:lastRenderedPageBreak/>
        <w:t xml:space="preserve">Strzelecki, A., &amp; </w:t>
      </w:r>
      <w:proofErr w:type="spellStart"/>
      <w:r>
        <w:rPr>
          <w:rFonts w:eastAsia="Arial"/>
          <w:color w:val="222222"/>
          <w:shd w:val="clear" w:color="auto" w:fill="FFFFFF"/>
        </w:rPr>
        <w:t>ElArabawy</w:t>
      </w:r>
      <w:proofErr w:type="spellEnd"/>
      <w:r>
        <w:rPr>
          <w:rFonts w:eastAsia="Arial"/>
          <w:color w:val="222222"/>
          <w:shd w:val="clear" w:color="auto" w:fill="FFFFFF"/>
        </w:rPr>
        <w:t xml:space="preserve">, S. (2024). Investigation of the moderation effect of gender and study level on the acceptance and use of generative AI by higher education students: Comparative evidence from Poland and Egypt. </w:t>
      </w:r>
      <w:r>
        <w:rPr>
          <w:rStyle w:val="Emphasis"/>
          <w:rFonts w:eastAsia="Arial"/>
          <w:color w:val="222222"/>
          <w:shd w:val="clear" w:color="auto" w:fill="FFFFFF"/>
        </w:rPr>
        <w:t>British Journal of Educational Technology, 55</w:t>
      </w:r>
      <w:r>
        <w:rPr>
          <w:rFonts w:eastAsia="Arial"/>
          <w:color w:val="222222"/>
          <w:shd w:val="clear" w:color="auto" w:fill="FFFFFF"/>
        </w:rPr>
        <w:t xml:space="preserve">(3), 1209-1230. </w:t>
      </w:r>
      <w:hyperlink r:id="rId54" w:tgtFrame="_blank">
        <w:r w:rsidR="00E73B4A">
          <w:rPr>
            <w:rStyle w:val="Hyperlink"/>
            <w:rFonts w:eastAsia="Arial"/>
            <w:shd w:val="clear" w:color="auto" w:fill="FFFFFF"/>
          </w:rPr>
          <w:t>https://doi.org/10.1111/bjet.13425</w:t>
        </w:r>
      </w:hyperlink>
    </w:p>
    <w:p w14:paraId="76638F83" w14:textId="77777777" w:rsidR="00E73B4A" w:rsidRDefault="00000000">
      <w:pPr>
        <w:pStyle w:val="APA7ReferenceListEntry"/>
      </w:pPr>
      <w:r>
        <w:rPr>
          <w:rFonts w:eastAsia="Arial"/>
        </w:rPr>
        <w:t xml:space="preserve">Tin, T. T., Chor, K. Y., Hui, W. J., Cheng, W. </w:t>
      </w:r>
      <w:r>
        <w:rPr>
          <w:rFonts w:eastAsia="Arial"/>
          <w:shd w:val="clear" w:color="auto" w:fill="FFFFFF"/>
        </w:rPr>
        <w:t xml:space="preserve">Y., Kit, C. J., Wan, W. N. A. A., </w:t>
      </w:r>
      <w:proofErr w:type="spellStart"/>
      <w:r>
        <w:rPr>
          <w:rFonts w:eastAsia="Arial"/>
          <w:shd w:val="clear" w:color="auto" w:fill="FFFFFF"/>
        </w:rPr>
        <w:t>Aitizaz</w:t>
      </w:r>
      <w:proofErr w:type="spellEnd"/>
      <w:r>
        <w:rPr>
          <w:rFonts w:eastAsia="Arial"/>
          <w:shd w:val="clear" w:color="auto" w:fill="FFFFFF"/>
        </w:rPr>
        <w:t xml:space="preserve">, A., </w:t>
      </w:r>
      <w:proofErr w:type="spellStart"/>
      <w:r>
        <w:rPr>
          <w:rFonts w:eastAsia="Arial"/>
          <w:shd w:val="clear" w:color="auto" w:fill="FFFFFF"/>
        </w:rPr>
        <w:t>Tiung</w:t>
      </w:r>
      <w:proofErr w:type="spellEnd"/>
      <w:r>
        <w:rPr>
          <w:rFonts w:eastAsia="Arial"/>
          <w:shd w:val="clear" w:color="auto" w:fill="FFFFFF"/>
        </w:rPr>
        <w:t xml:space="preserve">, L. K., </w:t>
      </w:r>
      <w:proofErr w:type="spellStart"/>
      <w:r>
        <w:rPr>
          <w:rFonts w:eastAsia="Arial"/>
          <w:shd w:val="clear" w:color="auto" w:fill="FFFFFF"/>
        </w:rPr>
        <w:t>Afolalu</w:t>
      </w:r>
      <w:proofErr w:type="spellEnd"/>
      <w:r>
        <w:rPr>
          <w:rFonts w:eastAsia="Arial"/>
          <w:shd w:val="clear" w:color="auto" w:fill="FFFFFF"/>
        </w:rPr>
        <w:t xml:space="preserve">, S. A. &amp; Khattak, U. F. (2024). Demographic Factors Shaping Artificial Intelligence (AI) Perspectives: Exploring Their Impact on University Students' academic performance. </w:t>
      </w:r>
      <w:r>
        <w:rPr>
          <w:rFonts w:eastAsia="Arial"/>
          <w:i/>
          <w:iCs/>
          <w:shd w:val="clear" w:color="auto" w:fill="FFFFFF"/>
        </w:rPr>
        <w:t>Pakistan Journal of Life and Social Sciences, 22</w:t>
      </w:r>
      <w:r>
        <w:rPr>
          <w:rFonts w:eastAsia="Arial"/>
          <w:shd w:val="clear" w:color="auto" w:fill="FFFFFF"/>
        </w:rPr>
        <w:t xml:space="preserve">(2), 12248-12264. </w:t>
      </w:r>
      <w:hyperlink r:id="rId55">
        <w:r w:rsidR="00E73B4A">
          <w:rPr>
            <w:rStyle w:val="Hyperlink"/>
            <w:rFonts w:eastAsia="Arial"/>
            <w:shd w:val="clear" w:color="auto" w:fill="FFFFFF"/>
          </w:rPr>
          <w:t>https://doi.org/10.57239/PJLSS-2024-22.2.000876</w:t>
        </w:r>
      </w:hyperlink>
      <w:r>
        <w:rPr>
          <w:rFonts w:eastAsia="Arial"/>
          <w:shd w:val="clear" w:color="auto" w:fill="FFFFFF"/>
        </w:rPr>
        <w:t xml:space="preserve"> </w:t>
      </w:r>
    </w:p>
    <w:p w14:paraId="6485868E" w14:textId="77777777" w:rsidR="00E73B4A" w:rsidRDefault="00000000">
      <w:pPr>
        <w:pStyle w:val="APA7ReferenceListEntry"/>
      </w:pPr>
      <w:r>
        <w:rPr>
          <w:rFonts w:eastAsia="Arial"/>
          <w:color w:val="000000"/>
          <w:shd w:val="clear" w:color="auto" w:fill="FFFFFF"/>
          <w:lang w:eastAsia="zh-CN" w:bidi="hi-IN"/>
        </w:rPr>
        <w:t xml:space="preserve">Zhou, X., Zhang, J., &amp; Chan, C. (2024). Unveiling Students’ Experiences and Perceptions of Artificial Intelligence Usage in Higher Education. </w:t>
      </w:r>
      <w:r>
        <w:rPr>
          <w:rFonts w:eastAsia="Arial"/>
          <w:i/>
          <w:color w:val="000000"/>
          <w:shd w:val="clear" w:color="auto" w:fill="FFFFFF"/>
          <w:lang w:eastAsia="zh-CN" w:bidi="hi-IN"/>
        </w:rPr>
        <w:t>Journal of University Teaching and Learning Practice</w:t>
      </w:r>
      <w:r>
        <w:rPr>
          <w:rFonts w:eastAsia="Arial"/>
          <w:color w:val="000000"/>
          <w:shd w:val="clear" w:color="auto" w:fill="FFFFFF"/>
          <w:lang w:eastAsia="zh-CN" w:bidi="hi-IN"/>
        </w:rPr>
        <w:t xml:space="preserve">, 21(06). </w:t>
      </w:r>
      <w:hyperlink r:id="rId56">
        <w:r w:rsidR="00E73B4A">
          <w:rPr>
            <w:rFonts w:eastAsia="Arial"/>
            <w:color w:val="1155CC"/>
            <w:u w:val="single"/>
            <w:shd w:val="clear" w:color="auto" w:fill="FFFFFF"/>
            <w:lang w:eastAsia="zh-CN" w:bidi="hi-IN"/>
          </w:rPr>
          <w:t>https://doi.org/10.53761/xzjprb23</w:t>
        </w:r>
      </w:hyperlink>
    </w:p>
    <w:sectPr w:rsidR="00E73B4A" w:rsidSect="00911B15">
      <w:headerReference w:type="first" r:id="rId57"/>
      <w:footerReference w:type="first" r:id="rId58"/>
      <w:pgSz w:w="12240" w:h="15840"/>
      <w:pgMar w:top="1440" w:right="1440" w:bottom="1134" w:left="1440" w:header="709" w:footer="397"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0444D" w14:textId="77777777" w:rsidR="00DA0794" w:rsidRDefault="00DA0794">
      <w:pPr>
        <w:spacing w:after="0" w:line="240" w:lineRule="auto"/>
      </w:pPr>
      <w:r>
        <w:separator/>
      </w:r>
    </w:p>
  </w:endnote>
  <w:endnote w:type="continuationSeparator" w:id="0">
    <w:p w14:paraId="366F3924" w14:textId="77777777" w:rsidR="00DA0794" w:rsidRDefault="00DA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0996" w14:textId="77777777" w:rsidR="00E73B4A" w:rsidRDefault="00000000">
    <w:pPr>
      <w:pStyle w:val="Citation"/>
      <w:spacing w:before="0" w:after="0"/>
      <w:rPr>
        <w:b/>
        <w:bCs w:val="0"/>
        <w:sz w:val="18"/>
        <w:szCs w:val="18"/>
      </w:rPr>
    </w:pPr>
    <w:r>
      <w:rPr>
        <w:b/>
        <w:bCs w:val="0"/>
        <w:sz w:val="18"/>
        <w:szCs w:val="18"/>
      </w:rPr>
      <w:t xml:space="preserve">Citation: </w:t>
    </w:r>
  </w:p>
  <w:p w14:paraId="30D1AFD0" w14:textId="7D2C1E06" w:rsidR="00E73B4A" w:rsidRDefault="00000000">
    <w:pPr>
      <w:pStyle w:val="Citation"/>
      <w:spacing w:before="0"/>
    </w:pPr>
    <w:r>
      <w:rPr>
        <w:rFonts w:eastAsia="Arial"/>
      </w:rPr>
      <w:t xml:space="preserve">Rajki, Z., </w:t>
    </w:r>
    <w:proofErr w:type="spellStart"/>
    <w:r>
      <w:rPr>
        <w:rFonts w:eastAsia="Arial"/>
      </w:rPr>
      <w:t>Dringó</w:t>
    </w:r>
    <w:proofErr w:type="spellEnd"/>
    <w:r>
      <w:rPr>
        <w:rFonts w:eastAsia="Arial"/>
      </w:rPr>
      <w:t xml:space="preserve">-Horváth, I., &amp; T. Nagy, J. (2025). Artificial Intelligence in Higher Education: Students’ Artificial Intelligence Use and its Influencing Factors. </w:t>
    </w:r>
    <w:r>
      <w:rPr>
        <w:rFonts w:eastAsia="Arial"/>
        <w:i/>
      </w:rPr>
      <w:t xml:space="preserve">Journal of University Teaching and Learning Practice, </w:t>
    </w:r>
    <w:hyperlink r:id="rId1" w:history="1">
      <w:r w:rsidR="00056739">
        <w:rPr>
          <w:rStyle w:val="Hyperlink"/>
        </w:rPr>
        <w:t xml:space="preserve">https://doi.org/10.53761/j0rebh67 </w:t>
      </w:r>
    </w:hyperlink>
  </w:p>
  <w:p w14:paraId="77527CC0" w14:textId="77777777" w:rsidR="00E73B4A" w:rsidRDefault="00E73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7E3B3" w14:textId="77777777" w:rsidR="00DA0794" w:rsidRDefault="00DA0794">
      <w:pPr>
        <w:spacing w:after="0" w:line="240" w:lineRule="auto"/>
      </w:pPr>
      <w:r>
        <w:separator/>
      </w:r>
    </w:p>
  </w:footnote>
  <w:footnote w:type="continuationSeparator" w:id="0">
    <w:p w14:paraId="79C1F6DF" w14:textId="77777777" w:rsidR="00DA0794" w:rsidRDefault="00DA0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99B5" w14:textId="77777777" w:rsidR="00E73B4A" w:rsidRDefault="00000000">
    <w:pPr>
      <w:pStyle w:val="Header"/>
      <w:jc w:val="center"/>
    </w:pPr>
    <w:r>
      <w:rPr>
        <w:noProof/>
      </w:rPr>
      <w:drawing>
        <wp:inline distT="0" distB="0" distL="0" distR="0" wp14:anchorId="61C2F2A9" wp14:editId="0EE42686">
          <wp:extent cx="5888355" cy="1296035"/>
          <wp:effectExtent l="0" t="0" r="0" b="0"/>
          <wp:docPr id="7" name="Picture 1" descr="Our jou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Our journal logo"/>
                  <pic:cNvPicPr>
                    <a:picLocks noChangeAspect="1" noChangeArrowheads="1"/>
                  </pic:cNvPicPr>
                </pic:nvPicPr>
                <pic:blipFill>
                  <a:blip r:embed="rId1"/>
                  <a:srcRect t="2093"/>
                  <a:stretch>
                    <a:fillRect/>
                  </a:stretch>
                </pic:blipFill>
                <pic:spPr bwMode="auto">
                  <a:xfrm>
                    <a:off x="0" y="0"/>
                    <a:ext cx="5888355" cy="12960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92784"/>
    <w:multiLevelType w:val="multilevel"/>
    <w:tmpl w:val="42D43B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8B0705"/>
    <w:multiLevelType w:val="multilevel"/>
    <w:tmpl w:val="16DA0E82"/>
    <w:lvl w:ilvl="0">
      <w:start w:val="1"/>
      <w:numFmt w:val="decimal"/>
      <w:pStyle w:val="PractitionerNotes"/>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41180793">
    <w:abstractNumId w:val="1"/>
  </w:num>
  <w:num w:numId="2" w16cid:durableId="35527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4A"/>
    <w:rsid w:val="00056739"/>
    <w:rsid w:val="00365D87"/>
    <w:rsid w:val="00911B15"/>
    <w:rsid w:val="009335FD"/>
    <w:rsid w:val="00DA0794"/>
    <w:rsid w:val="00E73B4A"/>
    <w:rsid w:val="00E8763D"/>
    <w:rsid w:val="00EF7A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3DF5"/>
  <w15:docId w15:val="{91BDE643-E138-E943-8466-D72C88F3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after="120" w:line="276" w:lineRule="auto"/>
      <w:jc w:val="both"/>
    </w:pPr>
    <w:rPr>
      <w:rFonts w:ascii="Arial" w:hAnsi="Arial" w:cs="Arial"/>
    </w:rPr>
  </w:style>
  <w:style w:type="paragraph" w:styleId="Heading1">
    <w:name w:val="heading 1"/>
    <w:basedOn w:val="Normal"/>
    <w:next w:val="Normal"/>
    <w:link w:val="Heading1Char"/>
    <w:uiPriority w:val="9"/>
    <w:qFormat/>
    <w:pPr>
      <w:keepNext/>
      <w:keepLines/>
      <w:jc w:val="center"/>
      <w:outlineLvl w:val="0"/>
    </w:pPr>
    <w:rPr>
      <w:rFonts w:cs="Tahoma"/>
      <w:b/>
      <w:sz w:val="28"/>
      <w:szCs w:val="32"/>
    </w:rPr>
  </w:style>
  <w:style w:type="paragraph" w:styleId="Heading2">
    <w:name w:val="heading 2"/>
    <w:basedOn w:val="Normal"/>
    <w:next w:val="Normal"/>
    <w:link w:val="Heading2Char"/>
    <w:uiPriority w:val="9"/>
    <w:unhideWhenUsed/>
    <w:qFormat/>
    <w:pPr>
      <w:keepNext/>
      <w:keepLines/>
      <w:spacing w:before="240"/>
      <w:outlineLvl w:val="1"/>
    </w:pPr>
    <w:rPr>
      <w:rFonts w:cs="Tahoma"/>
      <w:b/>
      <w:szCs w:val="20"/>
    </w:rPr>
  </w:style>
  <w:style w:type="paragraph" w:styleId="Heading3">
    <w:name w:val="heading 3"/>
    <w:basedOn w:val="Normal"/>
    <w:next w:val="Normal"/>
    <w:link w:val="Heading3Char"/>
    <w:uiPriority w:val="9"/>
    <w:semiHidden/>
    <w:unhideWhenUsed/>
    <w:qFormat/>
    <w:pPr>
      <w:keepNext/>
      <w:keepLines/>
      <w:spacing w:before="240"/>
      <w:outlineLvl w:val="2"/>
    </w:pPr>
    <w:rPr>
      <w:rFonts w:cs="Tahoma"/>
      <w:b/>
      <w:i/>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alibri Light" w:hAnsi="Calibri Light" w:cs="Tahoma"/>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rFonts w:ascii="Arial" w:eastAsia="Calibri" w:hAnsi="Arial" w:cs="Tahoma"/>
      <w:b/>
      <w:sz w:val="28"/>
      <w:szCs w:val="32"/>
    </w:rPr>
  </w:style>
  <w:style w:type="character" w:customStyle="1" w:styleId="Heading2Char">
    <w:name w:val="Heading 2 Char"/>
    <w:basedOn w:val="DefaultParagraphFont"/>
    <w:link w:val="Heading2"/>
    <w:qFormat/>
    <w:rPr>
      <w:rFonts w:ascii="Arial" w:eastAsia="Calibri" w:hAnsi="Arial" w:cs="Tahoma"/>
      <w:b/>
      <w:szCs w:val="20"/>
    </w:rPr>
  </w:style>
  <w:style w:type="character" w:customStyle="1" w:styleId="Heading3Char">
    <w:name w:val="Heading 3 Char"/>
    <w:basedOn w:val="DefaultParagraphFont"/>
    <w:link w:val="Heading3"/>
    <w:qFormat/>
    <w:rPr>
      <w:rFonts w:ascii="Arial" w:eastAsia="Calibri" w:hAnsi="Arial" w:cs="Tahoma"/>
      <w:b/>
      <w:i/>
      <w:szCs w:val="24"/>
    </w:rPr>
  </w:style>
  <w:style w:type="character" w:customStyle="1" w:styleId="TitleChar">
    <w:name w:val="Title Char"/>
    <w:basedOn w:val="DefaultParagraphFont"/>
    <w:link w:val="Title"/>
    <w:qFormat/>
    <w:rPr>
      <w:rFonts w:ascii="Calibri Light" w:eastAsia="Calibri" w:hAnsi="Calibri Light" w:cs="Tahoma"/>
      <w:spacing w:val="-10"/>
      <w:kern w:val="2"/>
      <w:sz w:val="56"/>
      <w:szCs w:val="56"/>
    </w:rPr>
  </w:style>
  <w:style w:type="character" w:styleId="SubtleReference">
    <w:name w:val="Subtle Reference"/>
    <w:basedOn w:val="DefaultParagraphFont"/>
    <w:qFormat/>
    <w:rPr>
      <w:smallCaps/>
      <w:color w:val="5A5A5A" w:themeColor="dark1" w:themeTint="A5"/>
    </w:rPr>
  </w:style>
  <w:style w:type="character" w:styleId="Emphasis">
    <w:name w:val="Emphasis"/>
    <w:basedOn w:val="DefaultParagraphFont"/>
    <w:qFormat/>
    <w:rPr>
      <w:i/>
      <w:iCs/>
    </w:rPr>
  </w:style>
  <w:style w:type="character" w:styleId="Hyperlink">
    <w:name w:val="Hyperlink"/>
    <w:basedOn w:val="DefaultParagraphFont"/>
    <w:rPr>
      <w:color w:val="000000" w:themeColor="dark1"/>
      <w:u w:val="single"/>
    </w:rPr>
  </w:style>
  <w:style w:type="character" w:styleId="UnresolvedMention">
    <w:name w:val="Unresolved Mention"/>
    <w:basedOn w:val="DefaultParagraphFont"/>
    <w:qFormat/>
    <w:rPr>
      <w:color w:val="605E5C"/>
      <w:shd w:val="clear" w:color="auto" w:fill="E1DFDD"/>
    </w:rPr>
  </w:style>
  <w:style w:type="character" w:customStyle="1" w:styleId="QuoteChar">
    <w:name w:val="Quote Char"/>
    <w:basedOn w:val="DefaultParagraphFont"/>
    <w:link w:val="Quote"/>
    <w:qFormat/>
    <w:rPr>
      <w:rFonts w:ascii="Arial" w:hAnsi="Arial" w:cs="Arial"/>
      <w:iCs/>
    </w:rPr>
  </w:style>
  <w:style w:type="character" w:customStyle="1" w:styleId="Heading4Char">
    <w:name w:val="Heading 4 Char"/>
    <w:basedOn w:val="DefaultParagraphFont"/>
    <w:link w:val="Heading4"/>
    <w:qFormat/>
    <w:rPr>
      <w:rFonts w:ascii="Calibri Light" w:eastAsia="Calibri" w:hAnsi="Calibri Light" w:cs="Tahoma"/>
      <w:i/>
      <w:iCs/>
      <w:color w:val="2F5496" w:themeColor="accent1" w:themeShade="BF"/>
    </w:rPr>
  </w:style>
  <w:style w:type="character" w:customStyle="1" w:styleId="CommentTextChar">
    <w:name w:val="Comment Text Char"/>
    <w:basedOn w:val="DefaultParagraphFont"/>
    <w:link w:val="CommentText"/>
    <w:qFormat/>
    <w:rPr>
      <w:rFonts w:ascii="Times New Roman" w:hAnsi="Times New Roman"/>
      <w:sz w:val="20"/>
      <w:szCs w:val="20"/>
    </w:rPr>
  </w:style>
  <w:style w:type="character" w:styleId="CommentReference">
    <w:name w:val="annotation reference"/>
    <w:basedOn w:val="DefaultParagraphFont"/>
    <w:qFormat/>
    <w:rPr>
      <w:sz w:val="16"/>
      <w:szCs w:val="16"/>
    </w:rPr>
  </w:style>
  <w:style w:type="character" w:styleId="FollowedHyperlink">
    <w:name w:val="FollowedHyperlink"/>
    <w:basedOn w:val="DefaultParagraphFont"/>
    <w:rPr>
      <w:color w:val="954F72" w:themeColor="followedHyperlink"/>
      <w:u w:val="single"/>
    </w:rPr>
  </w:style>
  <w:style w:type="character" w:customStyle="1" w:styleId="CommentSubjectChar">
    <w:name w:val="Comment Subject Char"/>
    <w:basedOn w:val="CommentTextChar"/>
    <w:link w:val="CommentSubject"/>
    <w:qFormat/>
    <w:rPr>
      <w:rFonts w:ascii="Times New Roman" w:hAnsi="Times New Roman"/>
      <w:b/>
      <w:bCs/>
      <w:sz w:val="20"/>
      <w:szCs w:val="20"/>
    </w:rPr>
  </w:style>
  <w:style w:type="character" w:customStyle="1" w:styleId="Lbjegyzet-karakterek">
    <w:name w:val="Lábjegyzet-karakterek"/>
    <w:qFormat/>
    <w:rPr>
      <w:vertAlign w:val="superscript"/>
    </w:rPr>
  </w:style>
  <w:style w:type="character" w:styleId="FootnoteReference">
    <w:name w:val="footnote reference"/>
    <w:rPr>
      <w:vertAlign w:val="superscript"/>
    </w:rPr>
  </w:style>
  <w:style w:type="character" w:customStyle="1" w:styleId="HeaderChar">
    <w:name w:val="Header Char"/>
    <w:basedOn w:val="DefaultParagraphFont"/>
    <w:link w:val="Header"/>
    <w:qFormat/>
    <w:rPr>
      <w:rFonts w:ascii="Arial" w:hAnsi="Arial"/>
    </w:rPr>
  </w:style>
  <w:style w:type="character" w:customStyle="1" w:styleId="FooterChar">
    <w:name w:val="Footer Char"/>
    <w:basedOn w:val="DefaultParagraphFont"/>
    <w:link w:val="Footer"/>
    <w:qFormat/>
    <w:rPr>
      <w:rFonts w:ascii="Arial" w:hAnsi="Arial"/>
    </w:rPr>
  </w:style>
  <w:style w:type="character" w:styleId="Strong">
    <w:name w:val="Strong"/>
    <w:basedOn w:val="DefaultParagraphFont"/>
    <w:qFormat/>
    <w:rPr>
      <w:b/>
      <w:bCs/>
    </w:rPr>
  </w:style>
  <w:style w:type="character" w:customStyle="1" w:styleId="TableNumberChar">
    <w:name w:val="Table Number Char"/>
    <w:basedOn w:val="DefaultParagraphFont"/>
    <w:link w:val="TableNumber"/>
    <w:qFormat/>
    <w:rPr>
      <w:rFonts w:ascii="Arial" w:hAnsi="Arial" w:cs="Arial"/>
      <w:b/>
      <w:bCs/>
    </w:rPr>
  </w:style>
  <w:style w:type="character" w:styleId="LineNumber">
    <w:name w:val="line number"/>
    <w:basedOn w:val="DefaultParagraphFont"/>
  </w:style>
  <w:style w:type="character" w:customStyle="1" w:styleId="JournalInformationChar">
    <w:name w:val="Journal Information Char"/>
    <w:basedOn w:val="DefaultParagraphFont"/>
    <w:link w:val="JournalInformation"/>
    <w:qFormat/>
    <w:rPr>
      <w:rFonts w:ascii="Arial" w:hAnsi="Arial" w:cs="Arial"/>
      <w:sz w:val="18"/>
      <w:szCs w:val="18"/>
    </w:rPr>
  </w:style>
  <w:style w:type="character" w:customStyle="1" w:styleId="ArticleTitleChar">
    <w:name w:val="Article Title Char"/>
    <w:basedOn w:val="Heading1Char"/>
    <w:link w:val="ArticleTitle"/>
    <w:qFormat/>
    <w:rPr>
      <w:rFonts w:ascii="Arial" w:eastAsia="Calibri" w:hAnsi="Arial" w:cs="Tahoma"/>
      <w:b/>
      <w:sz w:val="28"/>
      <w:szCs w:val="32"/>
    </w:rPr>
  </w:style>
  <w:style w:type="character" w:customStyle="1" w:styleId="TableTextChar">
    <w:name w:val="Table Text Char"/>
    <w:basedOn w:val="DefaultParagraphFont"/>
    <w:link w:val="TableText"/>
    <w:qFormat/>
    <w:rPr>
      <w:rFonts w:ascii="Arial" w:hAnsi="Arial" w:cs="Arial"/>
      <w:bCs/>
      <w:sz w:val="20"/>
    </w:rPr>
  </w:style>
  <w:style w:type="character" w:customStyle="1" w:styleId="AuthorsChar">
    <w:name w:val="Authors Char"/>
    <w:basedOn w:val="DefaultParagraphFont"/>
    <w:link w:val="Authors"/>
    <w:qFormat/>
    <w:rPr>
      <w:rFonts w:ascii="Arial" w:hAnsi="Arial" w:cs="Arial"/>
    </w:rPr>
  </w:style>
  <w:style w:type="character" w:customStyle="1" w:styleId="GuidanceNotesChar">
    <w:name w:val="Guidance Notes Char"/>
    <w:basedOn w:val="DefaultParagraphFont"/>
    <w:link w:val="GuidanceNotes"/>
    <w:qFormat/>
    <w:rPr>
      <w:rFonts w:ascii="Arial" w:hAnsi="Arial" w:cs="Arial"/>
      <w:color w:val="B70D3E"/>
      <w:sz w:val="20"/>
      <w:shd w:val="clear" w:color="auto" w:fill="D9D9D9"/>
    </w:rPr>
  </w:style>
  <w:style w:type="character" w:customStyle="1" w:styleId="TableEmphasisChar">
    <w:name w:val="Table Emphasis Char"/>
    <w:basedOn w:val="TableTextChar"/>
    <w:link w:val="TableEmphasis"/>
    <w:qFormat/>
    <w:rPr>
      <w:rFonts w:ascii="Arial" w:hAnsi="Arial" w:cs="Arial"/>
      <w:b/>
      <w:bCs w:val="0"/>
      <w:sz w:val="20"/>
    </w:rPr>
  </w:style>
  <w:style w:type="character" w:customStyle="1" w:styleId="HeadingFrontPageChar">
    <w:name w:val="Heading Front Page Char"/>
    <w:basedOn w:val="Heading1Char"/>
    <w:link w:val="HeadingFrontPage"/>
    <w:qFormat/>
    <w:rPr>
      <w:rFonts w:ascii="Arial" w:eastAsia="Calibri" w:hAnsi="Arial" w:cs="Tahoma"/>
      <w:b/>
      <w:sz w:val="24"/>
      <w:szCs w:val="32"/>
    </w:rPr>
  </w:style>
  <w:style w:type="character" w:customStyle="1" w:styleId="CitationChar">
    <w:name w:val="Citation Char"/>
    <w:basedOn w:val="DefaultParagraphFont"/>
    <w:link w:val="Citation"/>
    <w:qFormat/>
    <w:rPr>
      <w:rFonts w:ascii="Arial" w:hAnsi="Arial" w:cs="Arial"/>
      <w:bCs/>
      <w:sz w:val="16"/>
      <w:szCs w:val="16"/>
    </w:rPr>
  </w:style>
  <w:style w:type="character" w:customStyle="1" w:styleId="AuthorAffiliationsChar">
    <w:name w:val="Author Affiliations Char"/>
    <w:basedOn w:val="DefaultParagraphFont"/>
    <w:link w:val="AuthorAffiliations"/>
    <w:qFormat/>
    <w:rPr>
      <w:rFonts w:ascii="Arial" w:hAnsi="Arial" w:cs="Arial"/>
      <w:sz w:val="18"/>
      <w:szCs w:val="18"/>
    </w:rPr>
  </w:style>
  <w:style w:type="character" w:customStyle="1" w:styleId="FrontPageTextChar">
    <w:name w:val="Front Page Text Char"/>
    <w:basedOn w:val="DefaultParagraphFont"/>
    <w:link w:val="FrontPageText"/>
    <w:qFormat/>
    <w:rPr>
      <w:rFonts w:ascii="Arial" w:hAnsi="Arial" w:cs="Arial"/>
      <w:sz w:val="20"/>
      <w:szCs w:val="20"/>
    </w:rPr>
  </w:style>
  <w:style w:type="character" w:customStyle="1" w:styleId="ListParagraphChar">
    <w:name w:val="List Paragraph Char"/>
    <w:basedOn w:val="DefaultParagraphFont"/>
    <w:link w:val="ListParagraph"/>
    <w:qFormat/>
    <w:rPr>
      <w:rFonts w:ascii="Arial" w:hAnsi="Arial" w:cs="Arial"/>
    </w:rPr>
  </w:style>
  <w:style w:type="character" w:customStyle="1" w:styleId="PractitionerNotesChar">
    <w:name w:val="Practitioner Notes Char"/>
    <w:basedOn w:val="ListParagraphChar"/>
    <w:link w:val="PractitionerNotes"/>
    <w:qFormat/>
    <w:rPr>
      <w:rFonts w:ascii="Arial" w:hAnsi="Arial" w:cs="Arial"/>
      <w:sz w:val="20"/>
      <w:szCs w:val="20"/>
    </w:rPr>
  </w:style>
  <w:style w:type="character" w:customStyle="1" w:styleId="FooterHeadingChar">
    <w:name w:val="Footer Heading Char"/>
    <w:basedOn w:val="HeadingFrontPageChar"/>
    <w:link w:val="FooterHeading"/>
    <w:qFormat/>
    <w:rPr>
      <w:rFonts w:ascii="Arial" w:eastAsia="Calibri" w:hAnsi="Arial" w:cs="Tahoma"/>
      <w:b/>
      <w:sz w:val="20"/>
      <w:szCs w:val="24"/>
    </w:rPr>
  </w:style>
  <w:style w:type="character" w:customStyle="1" w:styleId="mord">
    <w:name w:val="mord"/>
    <w:basedOn w:val="DefaultParagraphFont"/>
    <w:qFormat/>
  </w:style>
  <w:style w:type="character" w:customStyle="1" w:styleId="mrel">
    <w:name w:val="mrel"/>
    <w:basedOn w:val="DefaultParagraphFont"/>
    <w:qFormat/>
  </w:style>
  <w:style w:type="character" w:customStyle="1" w:styleId="BalloonTextChar">
    <w:name w:val="Balloon Text Char"/>
    <w:basedOn w:val="DefaultParagraphFont"/>
    <w:link w:val="BalloonText"/>
    <w:uiPriority w:val="99"/>
    <w:semiHidden/>
    <w:qFormat/>
    <w:rsid w:val="00292139"/>
    <w:rPr>
      <w:rFonts w:ascii="Times New Roman" w:hAnsi="Times New Roman" w:cs="Times New Roman"/>
      <w:sz w:val="18"/>
      <w:szCs w:val="18"/>
    </w:rPr>
  </w:style>
  <w:style w:type="paragraph" w:customStyle="1" w:styleId="Cmsor">
    <w:name w:val="Címsor"/>
    <w:basedOn w:val="Normal"/>
    <w:next w:val="BodyText"/>
    <w:qFormat/>
    <w:pPr>
      <w:keepNext/>
      <w:spacing w:before="24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pPr>
    <w:rPr>
      <w:rFonts w:cs="Lucida Sans"/>
      <w:i/>
      <w:iCs/>
      <w:sz w:val="24"/>
      <w:szCs w:val="24"/>
    </w:rPr>
  </w:style>
  <w:style w:type="paragraph" w:customStyle="1" w:styleId="Trgymutat">
    <w:name w:val="Tárgymutató"/>
    <w:basedOn w:val="Normal"/>
    <w:qFormat/>
    <w:pPr>
      <w:suppressLineNumbers/>
    </w:pPr>
    <w:rPr>
      <w:rFonts w:cs="Lucida Sans"/>
    </w:rPr>
  </w:style>
  <w:style w:type="paragraph" w:customStyle="1" w:styleId="Cmsoruser">
    <w:name w:val="Címsor (user)"/>
    <w:basedOn w:val="Normal"/>
    <w:next w:val="BodyText"/>
    <w:qFormat/>
    <w:pPr>
      <w:keepNext/>
      <w:spacing w:before="240"/>
    </w:pPr>
    <w:rPr>
      <w:rFonts w:ascii="Liberation Sans" w:eastAsia="Microsoft YaHei" w:hAnsi="Liberation Sans" w:cs="Lucida Sans"/>
      <w:sz w:val="28"/>
      <w:szCs w:val="28"/>
    </w:rPr>
  </w:style>
  <w:style w:type="paragraph" w:customStyle="1" w:styleId="Trgymutatuser">
    <w:name w:val="Tárgymutató (user)"/>
    <w:basedOn w:val="Normal"/>
    <w:qFormat/>
    <w:pPr>
      <w:suppressLineNumbers/>
    </w:pPr>
    <w:rPr>
      <w:rFonts w:cs="Lucida Sans"/>
    </w:rPr>
  </w:style>
  <w:style w:type="paragraph" w:styleId="Title">
    <w:name w:val="Title"/>
    <w:basedOn w:val="Normal"/>
    <w:next w:val="Normal"/>
    <w:link w:val="TitleChar"/>
    <w:uiPriority w:val="10"/>
    <w:qFormat/>
    <w:pPr>
      <w:spacing w:after="0"/>
      <w:contextualSpacing/>
    </w:pPr>
    <w:rPr>
      <w:rFonts w:ascii="Calibri Light" w:hAnsi="Calibri Light" w:cs="Tahoma"/>
      <w:spacing w:val="-10"/>
      <w:kern w:val="2"/>
      <w:sz w:val="56"/>
      <w:szCs w:val="56"/>
    </w:rPr>
  </w:style>
  <w:style w:type="paragraph" w:styleId="Bibliography">
    <w:name w:val="Bibliography"/>
    <w:basedOn w:val="Normal"/>
    <w:next w:val="Normal"/>
    <w:qFormat/>
    <w:pPr>
      <w:ind w:left="720" w:hanging="720"/>
    </w:pPr>
  </w:style>
  <w:style w:type="paragraph" w:styleId="Quote">
    <w:name w:val="Quote"/>
    <w:basedOn w:val="Normal"/>
    <w:next w:val="Normal"/>
    <w:link w:val="QuoteChar"/>
    <w:qFormat/>
    <w:pPr>
      <w:ind w:left="720" w:right="720" w:firstLine="11"/>
    </w:pPr>
    <w:rPr>
      <w:iCs/>
    </w:rPr>
  </w:style>
  <w:style w:type="paragraph" w:styleId="CommentText">
    <w:name w:val="annotation text"/>
    <w:basedOn w:val="Normal"/>
    <w:link w:val="CommentTextChar"/>
    <w:rPr>
      <w:szCs w:val="20"/>
    </w:rPr>
  </w:style>
  <w:style w:type="paragraph" w:styleId="CommentSubject">
    <w:name w:val="annotation subject"/>
    <w:basedOn w:val="CommentText"/>
    <w:next w:val="CommentText"/>
    <w:link w:val="CommentSubjectChar"/>
    <w:qFormat/>
    <w:rPr>
      <w:b/>
      <w:bCs/>
    </w:rPr>
  </w:style>
  <w:style w:type="paragraph" w:customStyle="1" w:styleId="HeaderandFooter">
    <w:name w:val="Header and Footer"/>
    <w:basedOn w:val="Normal"/>
    <w:qFormat/>
  </w:style>
  <w:style w:type="paragraph" w:styleId="Header">
    <w:name w:val="header"/>
    <w:basedOn w:val="Normal"/>
    <w:link w:val="HeaderChar"/>
    <w:pPr>
      <w:suppressLineNumbers/>
      <w:tabs>
        <w:tab w:val="center" w:pos="4513"/>
        <w:tab w:val="right" w:pos="9026"/>
      </w:tabs>
      <w:spacing w:after="0"/>
    </w:pPr>
  </w:style>
  <w:style w:type="paragraph" w:styleId="Footer">
    <w:name w:val="footer"/>
    <w:basedOn w:val="Normal"/>
    <w:link w:val="FooterChar"/>
    <w:pPr>
      <w:suppressLineNumbers/>
      <w:tabs>
        <w:tab w:val="center" w:pos="4513"/>
        <w:tab w:val="right" w:pos="9026"/>
      </w:tabs>
      <w:spacing w:after="0"/>
    </w:pPr>
  </w:style>
  <w:style w:type="paragraph" w:customStyle="1" w:styleId="StyleHeading2Italic">
    <w:name w:val="Style Heading 2 + Italic"/>
    <w:basedOn w:val="Heading2"/>
    <w:qFormat/>
    <w:pPr>
      <w:spacing w:after="0"/>
    </w:pPr>
    <w:rPr>
      <w:bCs/>
      <w:i/>
      <w:iCs/>
    </w:rPr>
  </w:style>
  <w:style w:type="paragraph" w:styleId="ListParagraph">
    <w:name w:val="List Paragraph"/>
    <w:basedOn w:val="Normal"/>
    <w:link w:val="ListParagraphChar"/>
    <w:qFormat/>
    <w:pPr>
      <w:ind w:left="720"/>
      <w:contextualSpacing/>
    </w:pPr>
  </w:style>
  <w:style w:type="paragraph" w:customStyle="1" w:styleId="TableNumber">
    <w:name w:val="Table Number"/>
    <w:basedOn w:val="Normal"/>
    <w:next w:val="TableTitle"/>
    <w:link w:val="TableNumberChar"/>
    <w:qFormat/>
    <w:pPr>
      <w:keepNext/>
      <w:keepLines/>
      <w:spacing w:after="0" w:line="480" w:lineRule="auto"/>
    </w:pPr>
    <w:rPr>
      <w:b/>
      <w:bCs/>
    </w:rPr>
  </w:style>
  <w:style w:type="paragraph" w:customStyle="1" w:styleId="TableTitle">
    <w:name w:val="Table Title"/>
    <w:basedOn w:val="Normal"/>
    <w:qFormat/>
    <w:pPr>
      <w:keepNext/>
      <w:keepLines/>
    </w:pPr>
    <w:rPr>
      <w:i/>
      <w:iCs/>
    </w:rPr>
  </w:style>
  <w:style w:type="paragraph" w:customStyle="1" w:styleId="FigureNumber">
    <w:name w:val="Figure Number"/>
    <w:basedOn w:val="Normal"/>
    <w:next w:val="FigureTitle"/>
    <w:qFormat/>
    <w:pPr>
      <w:keepNext/>
      <w:keepLines/>
      <w:spacing w:after="0" w:line="480" w:lineRule="auto"/>
    </w:pPr>
    <w:rPr>
      <w:b/>
      <w:bCs/>
    </w:rPr>
  </w:style>
  <w:style w:type="paragraph" w:customStyle="1" w:styleId="FigureTitle">
    <w:name w:val="Figure Title"/>
    <w:basedOn w:val="Normal"/>
    <w:next w:val="Normal"/>
    <w:qFormat/>
    <w:pPr>
      <w:keepNext/>
      <w:keepLines/>
    </w:pPr>
    <w:rPr>
      <w:i/>
      <w:iCs/>
    </w:rPr>
  </w:style>
  <w:style w:type="paragraph" w:customStyle="1" w:styleId="ReferencesHeading">
    <w:name w:val="References Heading"/>
    <w:basedOn w:val="Normal"/>
    <w:qFormat/>
    <w:pPr>
      <w:jc w:val="center"/>
    </w:pPr>
    <w:rPr>
      <w:b/>
      <w:bCs/>
      <w:szCs w:val="20"/>
    </w:rPr>
  </w:style>
  <w:style w:type="paragraph" w:customStyle="1" w:styleId="APA7ReferenceListEntry">
    <w:name w:val="APA 7 Reference List Entry"/>
    <w:basedOn w:val="Normal"/>
    <w:qFormat/>
    <w:pPr>
      <w:spacing w:after="240"/>
      <w:ind w:left="720" w:hanging="720"/>
      <w:jc w:val="left"/>
    </w:pPr>
  </w:style>
  <w:style w:type="paragraph" w:customStyle="1" w:styleId="JournalInformation">
    <w:name w:val="Journal Information"/>
    <w:basedOn w:val="Normal"/>
    <w:link w:val="JournalInformationChar"/>
    <w:qFormat/>
    <w:pPr>
      <w:jc w:val="left"/>
    </w:pPr>
    <w:rPr>
      <w:sz w:val="18"/>
      <w:szCs w:val="18"/>
    </w:rPr>
  </w:style>
  <w:style w:type="paragraph" w:customStyle="1" w:styleId="ArticleTitle">
    <w:name w:val="Article Title"/>
    <w:basedOn w:val="Heading1"/>
    <w:link w:val="ArticleTitleChar"/>
    <w:qFormat/>
    <w:pPr>
      <w:spacing w:before="240"/>
      <w:jc w:val="both"/>
    </w:pPr>
  </w:style>
  <w:style w:type="paragraph" w:customStyle="1" w:styleId="TableText">
    <w:name w:val="Table Text"/>
    <w:basedOn w:val="Normal"/>
    <w:link w:val="TableTextChar"/>
    <w:qFormat/>
    <w:pPr>
      <w:spacing w:before="60" w:after="60" w:line="240" w:lineRule="auto"/>
      <w:jc w:val="left"/>
    </w:pPr>
    <w:rPr>
      <w:bCs/>
      <w:sz w:val="20"/>
    </w:rPr>
  </w:style>
  <w:style w:type="paragraph" w:customStyle="1" w:styleId="Authors">
    <w:name w:val="Authors"/>
    <w:basedOn w:val="Normal"/>
    <w:link w:val="AuthorsChar"/>
    <w:qFormat/>
    <w:pPr>
      <w:spacing w:before="240" w:after="0"/>
      <w:jc w:val="left"/>
    </w:pPr>
  </w:style>
  <w:style w:type="paragraph" w:customStyle="1" w:styleId="GuidanceNotes">
    <w:name w:val="Guidance Notes"/>
    <w:basedOn w:val="Normal"/>
    <w:link w:val="GuidanceNotesChar"/>
    <w:qFormat/>
    <w:pPr>
      <w:shd w:val="clear" w:color="auto" w:fill="D9D9D9"/>
    </w:pPr>
    <w:rPr>
      <w:color w:val="B70D3E"/>
      <w:sz w:val="20"/>
    </w:rPr>
  </w:style>
  <w:style w:type="paragraph" w:customStyle="1" w:styleId="TableEmphasis">
    <w:name w:val="Table Emphasis"/>
    <w:basedOn w:val="TableText"/>
    <w:link w:val="TableEmphasisChar"/>
    <w:qFormat/>
    <w:pPr>
      <w:keepNext/>
    </w:pPr>
    <w:rPr>
      <w:b/>
      <w:bCs w:val="0"/>
    </w:rPr>
  </w:style>
  <w:style w:type="paragraph" w:customStyle="1" w:styleId="HeadingFrontPage">
    <w:name w:val="Heading Front Page"/>
    <w:basedOn w:val="Heading1"/>
    <w:next w:val="Normal"/>
    <w:link w:val="HeadingFrontPageChar"/>
    <w:qFormat/>
    <w:pPr>
      <w:spacing w:before="240" w:after="60"/>
      <w:jc w:val="left"/>
    </w:pPr>
    <w:rPr>
      <w:sz w:val="24"/>
    </w:rPr>
  </w:style>
  <w:style w:type="paragraph" w:customStyle="1" w:styleId="Citation">
    <w:name w:val="Citation"/>
    <w:basedOn w:val="Normal"/>
    <w:link w:val="CitationChar"/>
    <w:qFormat/>
    <w:pPr>
      <w:spacing w:before="240"/>
      <w:ind w:left="720" w:hanging="720"/>
    </w:pPr>
    <w:rPr>
      <w:bCs/>
      <w:sz w:val="16"/>
      <w:szCs w:val="16"/>
    </w:rPr>
  </w:style>
  <w:style w:type="paragraph" w:customStyle="1" w:styleId="AuthorAffiliations">
    <w:name w:val="Author Affiliations"/>
    <w:basedOn w:val="Normal"/>
    <w:link w:val="AuthorAffiliationsChar"/>
    <w:qFormat/>
    <w:pPr>
      <w:spacing w:after="240"/>
      <w:jc w:val="left"/>
    </w:pPr>
    <w:rPr>
      <w:sz w:val="18"/>
      <w:szCs w:val="18"/>
    </w:rPr>
  </w:style>
  <w:style w:type="paragraph" w:customStyle="1" w:styleId="FrontPageText">
    <w:name w:val="Front Page Text"/>
    <w:basedOn w:val="Normal"/>
    <w:link w:val="FrontPageTextChar"/>
    <w:qFormat/>
    <w:rPr>
      <w:sz w:val="20"/>
      <w:szCs w:val="20"/>
    </w:rPr>
  </w:style>
  <w:style w:type="paragraph" w:customStyle="1" w:styleId="PractitionerNotes">
    <w:name w:val="Practitioner Notes"/>
    <w:basedOn w:val="ListParagraph"/>
    <w:link w:val="PractitionerNotesChar"/>
    <w:qFormat/>
    <w:pPr>
      <w:numPr>
        <w:numId w:val="1"/>
      </w:numPr>
      <w:ind w:left="284" w:hanging="284"/>
    </w:pPr>
    <w:rPr>
      <w:sz w:val="20"/>
      <w:szCs w:val="20"/>
    </w:rPr>
  </w:style>
  <w:style w:type="paragraph" w:customStyle="1" w:styleId="FooterHeading">
    <w:name w:val="Footer Heading"/>
    <w:basedOn w:val="HeadingFrontPage"/>
    <w:link w:val="FooterHeadingChar"/>
    <w:qFormat/>
    <w:pPr>
      <w:spacing w:after="0"/>
    </w:pPr>
    <w:rPr>
      <w:sz w:val="20"/>
      <w:szCs w:val="24"/>
    </w:rPr>
  </w:style>
  <w:style w:type="paragraph" w:customStyle="1" w:styleId="Kerettartalomuser">
    <w:name w:val="Kerettartalom (user)"/>
    <w:basedOn w:val="Normal"/>
    <w:qFormat/>
  </w:style>
  <w:style w:type="paragraph" w:customStyle="1" w:styleId="normal11">
    <w:name w:val="normal11"/>
    <w:qFormat/>
    <w:pPr>
      <w:tabs>
        <w:tab w:val="left" w:pos="6300"/>
      </w:tabs>
      <w:overflowPunct w:val="0"/>
      <w:spacing w:after="119" w:line="276" w:lineRule="auto"/>
      <w:jc w:val="both"/>
    </w:pPr>
    <w:rPr>
      <w:rFonts w:ascii="Times New Roman" w:eastAsia="NSimSun" w:hAnsi="Times New Roman" w:cs="Lucida Sans"/>
      <w:sz w:val="24"/>
      <w:szCs w:val="24"/>
      <w:lang w:eastAsia="zh-CN" w:bidi="hi-IN"/>
    </w:rPr>
  </w:style>
  <w:style w:type="paragraph" w:customStyle="1" w:styleId="Kerettartalom">
    <w:name w:val="Kerettartalom"/>
    <w:basedOn w:val="Normal"/>
    <w:qFormat/>
  </w:style>
  <w:style w:type="paragraph" w:styleId="NormalWeb">
    <w:name w:val="Normal (Web)"/>
    <w:basedOn w:val="Normal"/>
    <w:qFormat/>
    <w:pPr>
      <w:suppressAutoHyphens w:val="0"/>
      <w:overflowPunct/>
      <w:spacing w:before="280" w:after="280"/>
    </w:pPr>
  </w:style>
  <w:style w:type="paragraph" w:customStyle="1" w:styleId="Tblzattartalomuser">
    <w:name w:val="Táblázattartalom (user)"/>
    <w:basedOn w:val="Normal"/>
    <w:qFormat/>
    <w:pPr>
      <w:widowControl w:val="0"/>
      <w:suppressLineNumbers/>
    </w:pPr>
  </w:style>
  <w:style w:type="paragraph" w:styleId="BalloonText">
    <w:name w:val="Balloon Text"/>
    <w:basedOn w:val="Normal"/>
    <w:link w:val="BalloonTextChar"/>
    <w:uiPriority w:val="99"/>
    <w:semiHidden/>
    <w:unhideWhenUsed/>
    <w:qFormat/>
    <w:rsid w:val="00292139"/>
    <w:pPr>
      <w:spacing w:after="0" w:line="240" w:lineRule="auto"/>
    </w:pPr>
    <w:rPr>
      <w:rFonts w:ascii="Times New Roman" w:hAnsi="Times New Roman" w:cs="Times New Roman"/>
      <w:sz w:val="18"/>
      <w:szCs w:val="18"/>
    </w:rPr>
  </w:style>
  <w:style w:type="numbering" w:customStyle="1" w:styleId="Nincslista">
    <w:name w:val="Nincs lista"/>
    <w:qFormat/>
  </w:style>
  <w:style w:type="character" w:customStyle="1" w:styleId="value">
    <w:name w:val="value"/>
    <w:basedOn w:val="DefaultParagraphFont"/>
    <w:rsid w:val="00056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10.1186/s41239-023-00411-8" TargetMode="External"/><Relationship Id="rId26" Type="http://schemas.openxmlformats.org/officeDocument/2006/relationships/hyperlink" Target="https://doi.org/10.20414/elhikmah.v18i1.10037" TargetMode="External"/><Relationship Id="rId39" Type="http://schemas.openxmlformats.org/officeDocument/2006/relationships/hyperlink" Target="https://doi.org/10.3390/educsci14121363" TargetMode="External"/><Relationship Id="rId21" Type="http://schemas.openxmlformats.org/officeDocument/2006/relationships/hyperlink" Target="https://doi.org/10.1080/14703297.2023.2190148" TargetMode="External"/><Relationship Id="rId34" Type="http://schemas.openxmlformats.org/officeDocument/2006/relationships/hyperlink" Target="https://www.hrportal.hu/c/a-corvinus-egyetem-hallgatoinak-tobbsege-hasznal-mesterseges-intelligenciat-20230621.html" TargetMode="External"/><Relationship Id="rId42" Type="http://schemas.openxmlformats.org/officeDocument/2006/relationships/hyperlink" Target="https://doi.org/10.53761/caraaq92" TargetMode="External"/><Relationship Id="rId47" Type="http://schemas.openxmlformats.org/officeDocument/2006/relationships/hyperlink" Target="https://doi.org/10.61177/HISZ.2023.14.2.1" TargetMode="External"/><Relationship Id="rId50" Type="http://schemas.openxmlformats.org/officeDocument/2006/relationships/hyperlink" Target="https://doi.org/10.18415/ijmmu.v10i9.5059" TargetMode="External"/><Relationship Id="rId55" Type="http://schemas.openxmlformats.org/officeDocument/2006/relationships/hyperlink" Target="https://doi.org/10.57239/PJLSS-2024-22.2.000876" TargetMode="External"/><Relationship Id="rId7" Type="http://schemas.openxmlformats.org/officeDocument/2006/relationships/hyperlink" Target="https://creativecommons.org/licenses/by-nd/4.0/" TargetMode="External"/><Relationship Id="rId2" Type="http://schemas.openxmlformats.org/officeDocument/2006/relationships/styles" Target="styles.xml"/><Relationship Id="rId16" Type="http://schemas.openxmlformats.org/officeDocument/2006/relationships/hyperlink" Target="https://doi.org/10.1073/pnas.2314021121" TargetMode="External"/><Relationship Id="rId29" Type="http://schemas.openxmlformats.org/officeDocument/2006/relationships/hyperlink" Target="https://doi.org/10.3390/educsci1307069" TargetMode="External"/><Relationship Id="rId11" Type="http://schemas.openxmlformats.org/officeDocument/2006/relationships/image" Target="media/image3.png"/><Relationship Id="rId24" Type="http://schemas.openxmlformats.org/officeDocument/2006/relationships/hyperlink" Target="https://doi.org/10.1080/03075079.2024.2316881" TargetMode="External"/><Relationship Id="rId32" Type="http://schemas.openxmlformats.org/officeDocument/2006/relationships/hyperlink" Target="http://doi.org/10.56665/PADIPE.2023.1.1" TargetMode="External"/><Relationship Id="rId37" Type="http://schemas.openxmlformats.org/officeDocument/2006/relationships/hyperlink" Target="https://doi.org/10.34190/ejel.22.6.3196" TargetMode="External"/><Relationship Id="rId40" Type="http://schemas.openxmlformats.org/officeDocument/2006/relationships/hyperlink" Target="https://osf.io/preprints/osf/7x5k9_v1" TargetMode="External"/><Relationship Id="rId45" Type="http://schemas.openxmlformats.org/officeDocument/2006/relationships/hyperlink" Target="https://doi.org/10.1007/978-981-96-0573-6_28" TargetMode="External"/><Relationship Id="rId53" Type="http://schemas.openxmlformats.org/officeDocument/2006/relationships/hyperlink" Target="https://doi.org/10.1016/j.caeai.2024.100259"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doi.org/10.1186/s40561-023-00269-3"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3390/educsci13060609" TargetMode="External"/><Relationship Id="rId22" Type="http://schemas.openxmlformats.org/officeDocument/2006/relationships/hyperlink" Target="https://doi.org/10.14742/apubs.2023.618" TargetMode="External"/><Relationship Id="rId27" Type="http://schemas.openxmlformats.org/officeDocument/2006/relationships/hyperlink" Target="https://doi.org/10.53761/wzyrwj33" TargetMode="External"/><Relationship Id="rId30" Type="http://schemas.openxmlformats.org/officeDocument/2006/relationships/hyperlink" Target="https://doi.org/10.1787/88684e36-en" TargetMode="External"/><Relationship Id="rId35" Type="http://schemas.openxmlformats.org/officeDocument/2006/relationships/hyperlink" Target="https://doi.org/10.31949/ijeir.v4i1.11717" TargetMode="External"/><Relationship Id="rId43" Type="http://schemas.openxmlformats.org/officeDocument/2006/relationships/hyperlink" Target="https://doi.org/10.33847/2712-8149.4.2.5" TargetMode="External"/><Relationship Id="rId48" Type="http://schemas.openxmlformats.org/officeDocument/2006/relationships/hyperlink" Target="https://doi.org/10.14232/iskkult.2024.7.3" TargetMode="External"/><Relationship Id="rId56" Type="http://schemas.openxmlformats.org/officeDocument/2006/relationships/hyperlink" Target="https://doi.org/10.53761/xzjprb23" TargetMode="External"/><Relationship Id="rId8" Type="http://schemas.openxmlformats.org/officeDocument/2006/relationships/hyperlink" Target="https://creativecommons.org/licenses/by-nd/4.0/" TargetMode="External"/><Relationship Id="rId51" Type="http://schemas.openxmlformats.org/officeDocument/2006/relationships/hyperlink" Target="https://thetab.com/uk/2023/03/21/there-were-more-than-1-million-visits-to-chatgpt-website-at-universities-in-last-exam-season-299853"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milab.tk.hu/uploads/files/MI_survey_report_final_doc.pdf" TargetMode="External"/><Relationship Id="rId25" Type="http://schemas.openxmlformats.org/officeDocument/2006/relationships/hyperlink" Target="https://doi.org/10.53761/pswgbw82" TargetMode="External"/><Relationship Id="rId33" Type="http://schemas.openxmlformats.org/officeDocument/2006/relationships/hyperlink" Target="https://www.flexjobs.com/blog/post/the-ai-gender-gap-exploring-variances-in-workplace-adoption" TargetMode="External"/><Relationship Id="rId38" Type="http://schemas.openxmlformats.org/officeDocument/2006/relationships/hyperlink" Target="https://doi.org/10.1080/10447318.2022.2151730" TargetMode="External"/><Relationship Id="rId46" Type="http://schemas.openxmlformats.org/officeDocument/2006/relationships/hyperlink" Target="https://doi.org/10.61177/HISZ.2023.14.2.1" TargetMode="External"/><Relationship Id="rId59" Type="http://schemas.openxmlformats.org/officeDocument/2006/relationships/fontTable" Target="fontTable.xml"/><Relationship Id="rId20" Type="http://schemas.openxmlformats.org/officeDocument/2006/relationships/hyperlink" Target="https://www.bbc.com/news/business-67217915" TargetMode="External"/><Relationship Id="rId41" Type="http://schemas.openxmlformats.org/officeDocument/2006/relationships/hyperlink" Target="https://doi.org/10.9734/ajess/2024/v50i31296" TargetMode="External"/><Relationship Id="rId54" Type="http://schemas.openxmlformats.org/officeDocument/2006/relationships/hyperlink" Target="https://doi.org/10.1111/bjet.1342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89/feduc.2024.1463208" TargetMode="External"/><Relationship Id="rId23" Type="http://schemas.openxmlformats.org/officeDocument/2006/relationships/hyperlink" Target="https://doi.org/10.1186/s41239-024-00452-7" TargetMode="External"/><Relationship Id="rId28" Type="http://schemas.openxmlformats.org/officeDocument/2006/relationships/hyperlink" Target="https://doi.org/10.1073/pnas.2305016120" TargetMode="External"/><Relationship Id="rId36" Type="http://schemas.openxmlformats.org/officeDocument/2006/relationships/hyperlink" Target="https://doi.org/10.21608/erji.2023.306718" TargetMode="External"/><Relationship Id="rId49" Type="http://schemas.openxmlformats.org/officeDocument/2006/relationships/hyperlink" Target="https://doi.org/10.48550/arXiv.2309.10892" TargetMode="External"/><Relationship Id="rId57"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hyperlink" Target="https://www.searchenginejournal.com/should-you-trust-an-a-detector/491949/" TargetMode="External"/><Relationship Id="rId44" Type="http://schemas.openxmlformats.org/officeDocument/2006/relationships/hyperlink" Target="https://doi.org/10.53761/40wmcj98" TargetMode="External"/><Relationship Id="rId52" Type="http://schemas.openxmlformats.org/officeDocument/2006/relationships/hyperlink" Target="https://doi.org/10.61467/2007.1558.2024.v15i1.422"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3761/j0rebh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9038</Words>
  <Characters>51521</Characters>
  <Application>Microsoft Office Word</Application>
  <DocSecurity>0</DocSecurity>
  <Lines>429</Lines>
  <Paragraphs>120</Paragraphs>
  <ScaleCrop>false</ScaleCrop>
  <Company/>
  <LinksUpToDate>false</LinksUpToDate>
  <CharactersWithSpaces>60439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Rachel Fitzgerald</cp:lastModifiedBy>
  <cp:revision>5</cp:revision>
  <dcterms:created xsi:type="dcterms:W3CDTF">2025-04-06T05:56:00Z</dcterms:created>
  <dcterms:modified xsi:type="dcterms:W3CDTF">2025-04-06T06:14:00Z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0x010100A053F22560B2B54481C0CD87C306D11C</vt:lpwstr>
  </property>
</Properties>
</file>